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4DD9" w:rsidRDefault="007405B4">
      <w:pPr>
        <w:jc w:val="center"/>
        <w:rPr>
          <w:b/>
          <w:sz w:val="40"/>
          <w:szCs w:val="40"/>
        </w:rPr>
      </w:pPr>
      <w:r>
        <w:rPr>
          <w:b/>
          <w:sz w:val="40"/>
          <w:szCs w:val="40"/>
        </w:rPr>
        <w:t>ORDENANZA Nº 1516/25</w:t>
      </w:r>
    </w:p>
    <w:p w:rsidR="005B4DD9" w:rsidRPr="007405B4" w:rsidRDefault="006C649E">
      <w:pPr>
        <w:jc w:val="center"/>
        <w:rPr>
          <w:sz w:val="22"/>
        </w:rPr>
      </w:pPr>
      <w:r w:rsidRPr="007405B4">
        <w:rPr>
          <w:sz w:val="22"/>
        </w:rPr>
        <w:t>“Balance Anual Ejercicio 2.024”</w:t>
      </w:r>
    </w:p>
    <w:p w:rsidR="005B4DD9" w:rsidRDefault="005B4DD9">
      <w:pPr>
        <w:jc w:val="center"/>
      </w:pPr>
    </w:p>
    <w:p w:rsidR="005B4DD9" w:rsidRDefault="005B4DD9">
      <w:pPr>
        <w:rPr>
          <w:b/>
          <w:sz w:val="36"/>
          <w:szCs w:val="36"/>
        </w:rPr>
      </w:pPr>
    </w:p>
    <w:p w:rsidR="005B4DD9" w:rsidRDefault="006C649E">
      <w:pPr>
        <w:rPr>
          <w:b/>
          <w:sz w:val="32"/>
          <w:szCs w:val="36"/>
        </w:rPr>
      </w:pPr>
      <w:r w:rsidRPr="007405B4">
        <w:rPr>
          <w:b/>
          <w:sz w:val="32"/>
          <w:szCs w:val="36"/>
        </w:rPr>
        <w:t>VISTO:</w:t>
      </w:r>
    </w:p>
    <w:p w:rsidR="007405B4" w:rsidRPr="007405B4" w:rsidRDefault="007405B4">
      <w:pPr>
        <w:rPr>
          <w:b/>
          <w:sz w:val="32"/>
          <w:szCs w:val="36"/>
        </w:rPr>
      </w:pPr>
    </w:p>
    <w:p w:rsidR="005B4DD9" w:rsidRDefault="006C649E">
      <w:pPr>
        <w:ind w:firstLine="851"/>
        <w:jc w:val="both"/>
        <w:rPr>
          <w:sz w:val="28"/>
          <w:szCs w:val="28"/>
        </w:rPr>
      </w:pPr>
      <w:r>
        <w:rPr>
          <w:sz w:val="28"/>
          <w:szCs w:val="28"/>
        </w:rPr>
        <w:t>La documentación correspondiente a la memoria año 2024, elevada por el D.E.M. y la Resolución Nº 01/2025 del Tribunal de Cuentas Municipal, en la cual consta el informe de la Cuenta Anual del Ejercicio Año 2024;</w:t>
      </w:r>
    </w:p>
    <w:p w:rsidR="005B4DD9" w:rsidRDefault="005B4DD9">
      <w:pPr>
        <w:ind w:firstLine="851"/>
        <w:jc w:val="both"/>
        <w:rPr>
          <w:sz w:val="28"/>
          <w:szCs w:val="28"/>
        </w:rPr>
      </w:pPr>
    </w:p>
    <w:p w:rsidR="005B4DD9" w:rsidRDefault="005B4DD9">
      <w:pPr>
        <w:rPr>
          <w:b/>
          <w:sz w:val="36"/>
          <w:szCs w:val="36"/>
        </w:rPr>
      </w:pPr>
    </w:p>
    <w:p w:rsidR="005B4DD9" w:rsidRDefault="006C649E">
      <w:pPr>
        <w:rPr>
          <w:b/>
          <w:sz w:val="32"/>
          <w:szCs w:val="36"/>
        </w:rPr>
      </w:pPr>
      <w:r w:rsidRPr="007405B4">
        <w:rPr>
          <w:b/>
          <w:sz w:val="32"/>
          <w:szCs w:val="36"/>
        </w:rPr>
        <w:t>CONSIDERANDO:</w:t>
      </w:r>
    </w:p>
    <w:p w:rsidR="007405B4" w:rsidRPr="007405B4" w:rsidRDefault="007405B4">
      <w:pPr>
        <w:rPr>
          <w:b/>
          <w:sz w:val="32"/>
          <w:szCs w:val="36"/>
        </w:rPr>
      </w:pPr>
    </w:p>
    <w:p w:rsidR="005B4DD9" w:rsidRDefault="006C649E">
      <w:pPr>
        <w:ind w:firstLine="708"/>
        <w:jc w:val="both"/>
        <w:rPr>
          <w:color w:val="000000"/>
          <w:sz w:val="28"/>
          <w:szCs w:val="28"/>
        </w:rPr>
      </w:pPr>
      <w:r>
        <w:rPr>
          <w:sz w:val="28"/>
          <w:szCs w:val="28"/>
        </w:rPr>
        <w:t xml:space="preserve">                             Que según lo estipulado en </w:t>
      </w:r>
      <w:r>
        <w:rPr>
          <w:color w:val="000000"/>
          <w:sz w:val="28"/>
          <w:szCs w:val="28"/>
        </w:rPr>
        <w:t xml:space="preserve">Art. 30º Inc. 24) de la Ley Orgánica Municipal corresponde al Concejo Deliberante examinar y aprobar o desechar la cuenta anual de la administración previo informe del Tribunal de Cuentas, dentro de los noventa (90) días de recibido. </w:t>
      </w:r>
    </w:p>
    <w:p w:rsidR="007405B4" w:rsidRDefault="007405B4">
      <w:pPr>
        <w:ind w:firstLine="708"/>
        <w:jc w:val="both"/>
        <w:rPr>
          <w:color w:val="000000"/>
          <w:sz w:val="28"/>
          <w:szCs w:val="28"/>
        </w:rPr>
      </w:pPr>
    </w:p>
    <w:p w:rsidR="005B4DD9" w:rsidRDefault="006C649E">
      <w:pPr>
        <w:ind w:firstLine="708"/>
        <w:jc w:val="both"/>
        <w:rPr>
          <w:sz w:val="28"/>
          <w:szCs w:val="28"/>
        </w:rPr>
      </w:pPr>
      <w:r>
        <w:rPr>
          <w:sz w:val="28"/>
          <w:szCs w:val="28"/>
        </w:rPr>
        <w:t xml:space="preserve">                         </w:t>
      </w:r>
      <w:r w:rsidR="007405B4">
        <w:rPr>
          <w:sz w:val="28"/>
          <w:szCs w:val="28"/>
        </w:rPr>
        <w:t xml:space="preserve">    </w:t>
      </w:r>
      <w:r>
        <w:rPr>
          <w:sz w:val="28"/>
          <w:szCs w:val="28"/>
        </w:rPr>
        <w:t xml:space="preserve">Que el dictamen del Tribunal de Cuentas Municipal correspondiente al Informe de la Cuenta Anual del Ejercicio Año 2024, según la Resolución Nº 01/2025, indica que "la Cuenta Anual Año 2024 se encuentra visada y sin observaciones", conforme las atribuciones que surgen </w:t>
      </w:r>
      <w:r w:rsidR="003F767D">
        <w:rPr>
          <w:sz w:val="28"/>
          <w:szCs w:val="28"/>
        </w:rPr>
        <w:t>d</w:t>
      </w:r>
      <w:r>
        <w:rPr>
          <w:sz w:val="28"/>
          <w:szCs w:val="28"/>
        </w:rPr>
        <w:t>el Art. 84 de la Ley 8102, el cual establece que corresponde al órgano de con</w:t>
      </w:r>
      <w:r w:rsidR="003F767D">
        <w:rPr>
          <w:sz w:val="28"/>
          <w:szCs w:val="28"/>
        </w:rPr>
        <w:t>trol externo de la legalidad de gastos</w:t>
      </w:r>
      <w:r>
        <w:rPr>
          <w:sz w:val="28"/>
          <w:szCs w:val="28"/>
        </w:rPr>
        <w:t>, entre otras, la de revisar las Cuentas Generales del ejercicio de la administración municipal y Dictaminar ante el Concejo Deliberante, dentro de los sesenta (60) días de haber sido recibida, sobre la Cuenta General de la Municipalidad.</w:t>
      </w:r>
    </w:p>
    <w:p w:rsidR="007405B4" w:rsidRDefault="007405B4">
      <w:pPr>
        <w:ind w:firstLine="708"/>
        <w:jc w:val="both"/>
        <w:rPr>
          <w:sz w:val="28"/>
          <w:szCs w:val="28"/>
        </w:rPr>
      </w:pPr>
    </w:p>
    <w:p w:rsidR="005B4DD9" w:rsidRDefault="006C649E">
      <w:pPr>
        <w:ind w:firstLine="708"/>
        <w:jc w:val="both"/>
        <w:rPr>
          <w:sz w:val="28"/>
          <w:szCs w:val="28"/>
        </w:rPr>
      </w:pPr>
      <w:bookmarkStart w:id="0" w:name="_heading=h.tbeqdmy3ppms" w:colFirst="0" w:colLast="0"/>
      <w:bookmarkEnd w:id="0"/>
      <w:r>
        <w:rPr>
          <w:sz w:val="28"/>
          <w:szCs w:val="28"/>
        </w:rPr>
        <w:t xml:space="preserve">                       </w:t>
      </w:r>
      <w:r w:rsidR="007405B4">
        <w:rPr>
          <w:sz w:val="28"/>
          <w:szCs w:val="28"/>
        </w:rPr>
        <w:t xml:space="preserve">    </w:t>
      </w:r>
      <w:r>
        <w:rPr>
          <w:sz w:val="28"/>
          <w:szCs w:val="28"/>
        </w:rPr>
        <w:t xml:space="preserve"> </w:t>
      </w:r>
      <w:r w:rsidR="007405B4">
        <w:rPr>
          <w:sz w:val="28"/>
          <w:szCs w:val="28"/>
        </w:rPr>
        <w:t xml:space="preserve"> </w:t>
      </w:r>
      <w:r>
        <w:rPr>
          <w:sz w:val="28"/>
          <w:szCs w:val="28"/>
        </w:rPr>
        <w:t>Que el Balance general del Ejercicio 2024 de la Municipalidad de Tanti fue elevado por el Departamento Ejecutivo Municipal al Tribunal de Cuentas dentro del plazo previsto en el Inciso 14) del art. 49 de la citada ley.</w:t>
      </w:r>
    </w:p>
    <w:p w:rsidR="005B4DD9" w:rsidRDefault="006C649E">
      <w:pPr>
        <w:ind w:firstLine="708"/>
        <w:jc w:val="both"/>
        <w:rPr>
          <w:sz w:val="28"/>
          <w:szCs w:val="28"/>
        </w:rPr>
      </w:pPr>
      <w:r>
        <w:rPr>
          <w:sz w:val="28"/>
          <w:szCs w:val="28"/>
        </w:rPr>
        <w:t xml:space="preserve">                       </w:t>
      </w:r>
      <w:r w:rsidR="007405B4">
        <w:rPr>
          <w:sz w:val="28"/>
          <w:szCs w:val="28"/>
        </w:rPr>
        <w:t xml:space="preserve">      </w:t>
      </w:r>
      <w:r>
        <w:rPr>
          <w:sz w:val="28"/>
          <w:szCs w:val="28"/>
        </w:rPr>
        <w:t>Que en tiempo y forma el Tribunal de Cuentas dentro del término previsto por el Inciso 5) del art. 84 de la Ley Orgánica Municipal, remitió a este Concejo Deliberante el dictamen referido a la Cuenta General del ejercicio financiero 2024 de la Municipalidad de Tanti.</w:t>
      </w:r>
    </w:p>
    <w:p w:rsidR="007405B4" w:rsidRDefault="007405B4">
      <w:pPr>
        <w:ind w:firstLine="708"/>
        <w:jc w:val="both"/>
        <w:rPr>
          <w:sz w:val="28"/>
          <w:szCs w:val="28"/>
        </w:rPr>
      </w:pPr>
    </w:p>
    <w:p w:rsidR="005B4DD9" w:rsidRDefault="006C649E">
      <w:pPr>
        <w:ind w:firstLine="708"/>
        <w:jc w:val="both"/>
        <w:rPr>
          <w:sz w:val="28"/>
          <w:szCs w:val="28"/>
        </w:rPr>
      </w:pPr>
      <w:r>
        <w:rPr>
          <w:sz w:val="28"/>
          <w:szCs w:val="28"/>
        </w:rPr>
        <w:t xml:space="preserve">                      </w:t>
      </w:r>
      <w:r w:rsidR="007405B4">
        <w:rPr>
          <w:sz w:val="28"/>
          <w:szCs w:val="28"/>
        </w:rPr>
        <w:t xml:space="preserve">    </w:t>
      </w:r>
      <w:r>
        <w:rPr>
          <w:sz w:val="28"/>
          <w:szCs w:val="28"/>
        </w:rPr>
        <w:t xml:space="preserve"> </w:t>
      </w:r>
      <w:r w:rsidR="007405B4">
        <w:rPr>
          <w:sz w:val="28"/>
          <w:szCs w:val="28"/>
        </w:rPr>
        <w:t xml:space="preserve">   </w:t>
      </w:r>
      <w:r>
        <w:rPr>
          <w:sz w:val="28"/>
          <w:szCs w:val="28"/>
        </w:rPr>
        <w:t xml:space="preserve">Que el citado dictamen no tiene ninguna observación por parte de ese Tribunal de Cuentas respecto a lo actuado por el Departamento Ejecutivo Municipal, de modo tal que surge de su lectura que el Departamento Ejecutivo ha ejecutado el presupuesto, recaudado la renta Municipal, efectuado las contrataciones y manejado los fondos de tesorería de conformidad a las disposiciones legales vigentes. </w:t>
      </w:r>
    </w:p>
    <w:p w:rsidR="007405B4" w:rsidRDefault="007405B4">
      <w:pPr>
        <w:ind w:firstLine="708"/>
        <w:jc w:val="both"/>
        <w:rPr>
          <w:sz w:val="28"/>
          <w:szCs w:val="28"/>
        </w:rPr>
      </w:pPr>
    </w:p>
    <w:p w:rsidR="005B4DD9" w:rsidRDefault="006C649E">
      <w:pPr>
        <w:ind w:firstLine="708"/>
        <w:jc w:val="both"/>
        <w:rPr>
          <w:sz w:val="28"/>
          <w:szCs w:val="28"/>
        </w:rPr>
      </w:pPr>
      <w:r>
        <w:rPr>
          <w:sz w:val="28"/>
          <w:szCs w:val="28"/>
        </w:rPr>
        <w:t xml:space="preserve">                   </w:t>
      </w:r>
      <w:r w:rsidR="007405B4">
        <w:rPr>
          <w:sz w:val="28"/>
          <w:szCs w:val="28"/>
        </w:rPr>
        <w:t xml:space="preserve">            </w:t>
      </w:r>
      <w:bookmarkStart w:id="1" w:name="_GoBack"/>
      <w:bookmarkEnd w:id="1"/>
      <w:r>
        <w:rPr>
          <w:sz w:val="28"/>
          <w:szCs w:val="28"/>
        </w:rPr>
        <w:t>Que en razón de lo expuesto y luego de examinar la cuenta Anual del ejercicio financiero 2024 de la Municipalidad de Tanti, y no existiendo observación que hacer al balance de ejecución del presupuesto, estado de disponibilidades y conciliaciones bancarias al 31 de Diciembre de 2024, corresponde resolver la Aprobación de la Cuenta del Ejercicio 2024.-</w:t>
      </w:r>
    </w:p>
    <w:p w:rsidR="005B4DD9" w:rsidRDefault="006C649E">
      <w:pPr>
        <w:ind w:firstLine="708"/>
        <w:jc w:val="both"/>
        <w:rPr>
          <w:sz w:val="28"/>
          <w:szCs w:val="28"/>
        </w:rPr>
      </w:pPr>
      <w:r>
        <w:rPr>
          <w:sz w:val="28"/>
          <w:szCs w:val="28"/>
        </w:rPr>
        <w:t xml:space="preserve">                    Por todo ello y en uso de las atribuciones que le son propias; </w:t>
      </w:r>
    </w:p>
    <w:p w:rsidR="005B4DD9" w:rsidRDefault="005B4DD9">
      <w:pPr>
        <w:jc w:val="center"/>
        <w:rPr>
          <w:b/>
          <w:sz w:val="36"/>
          <w:szCs w:val="36"/>
        </w:rPr>
      </w:pPr>
    </w:p>
    <w:p w:rsidR="005B4DD9" w:rsidRPr="007405B4" w:rsidRDefault="006C649E">
      <w:pPr>
        <w:jc w:val="center"/>
        <w:rPr>
          <w:b/>
          <w:sz w:val="32"/>
          <w:szCs w:val="36"/>
        </w:rPr>
      </w:pPr>
      <w:r w:rsidRPr="007405B4">
        <w:rPr>
          <w:b/>
          <w:sz w:val="32"/>
          <w:szCs w:val="36"/>
        </w:rPr>
        <w:t>EL CONCEJO DELIBERANTE DE LA MUNICIPALIDAD  DE TANTI SANCIONA CON FUERZA DE</w:t>
      </w:r>
    </w:p>
    <w:p w:rsidR="005B4DD9" w:rsidRPr="007405B4" w:rsidRDefault="006C649E">
      <w:pPr>
        <w:spacing w:after="280"/>
        <w:jc w:val="center"/>
        <w:rPr>
          <w:b/>
          <w:sz w:val="22"/>
        </w:rPr>
      </w:pPr>
      <w:r w:rsidRPr="007405B4">
        <w:rPr>
          <w:b/>
          <w:sz w:val="32"/>
          <w:szCs w:val="36"/>
        </w:rPr>
        <w:t>ORDENANZA</w:t>
      </w:r>
    </w:p>
    <w:p w:rsidR="005B4DD9" w:rsidRDefault="005B4DD9">
      <w:pPr>
        <w:spacing w:after="280" w:line="276" w:lineRule="auto"/>
        <w:jc w:val="center"/>
        <w:rPr>
          <w:b/>
        </w:rPr>
      </w:pPr>
    </w:p>
    <w:p w:rsidR="005B4DD9" w:rsidRDefault="007405B4">
      <w:pPr>
        <w:jc w:val="both"/>
        <w:rPr>
          <w:sz w:val="28"/>
          <w:szCs w:val="28"/>
        </w:rPr>
      </w:pPr>
      <w:r>
        <w:rPr>
          <w:b/>
          <w:sz w:val="28"/>
          <w:szCs w:val="28"/>
        </w:rPr>
        <w:t>Artículo 1º: APRUÉ</w:t>
      </w:r>
      <w:r w:rsidR="006C649E">
        <w:rPr>
          <w:b/>
          <w:sz w:val="28"/>
          <w:szCs w:val="28"/>
        </w:rPr>
        <w:t xml:space="preserve">BASE </w:t>
      </w:r>
      <w:r w:rsidR="006C649E">
        <w:rPr>
          <w:sz w:val="28"/>
          <w:szCs w:val="28"/>
        </w:rPr>
        <w:t>la Cuenta Anual del Ejercicio Año 2.024, cuyo anexo se agrega a la presente, en el marco de lo establecido por el Inciso 24º del Art. 30º de la Ley Nº 8.102.-</w:t>
      </w:r>
    </w:p>
    <w:p w:rsidR="005B4DD9" w:rsidRDefault="005B4DD9">
      <w:pPr>
        <w:jc w:val="both"/>
        <w:rPr>
          <w:sz w:val="28"/>
          <w:szCs w:val="28"/>
        </w:rPr>
      </w:pPr>
    </w:p>
    <w:p w:rsidR="005B4DD9" w:rsidRDefault="006C649E">
      <w:pPr>
        <w:spacing w:before="280"/>
        <w:jc w:val="both"/>
        <w:rPr>
          <w:sz w:val="28"/>
          <w:szCs w:val="28"/>
        </w:rPr>
      </w:pPr>
      <w:r>
        <w:rPr>
          <w:b/>
          <w:sz w:val="28"/>
          <w:szCs w:val="28"/>
        </w:rPr>
        <w:t>Artículo 2º: COMUNIQUESE</w:t>
      </w:r>
      <w:r>
        <w:rPr>
          <w:sz w:val="28"/>
          <w:szCs w:val="28"/>
        </w:rPr>
        <w:t xml:space="preserve">, Publíquese, </w:t>
      </w:r>
      <w:proofErr w:type="spellStart"/>
      <w:r>
        <w:rPr>
          <w:sz w:val="28"/>
          <w:szCs w:val="28"/>
        </w:rPr>
        <w:t>Dése</w:t>
      </w:r>
      <w:proofErr w:type="spellEnd"/>
      <w:r>
        <w:rPr>
          <w:sz w:val="28"/>
          <w:szCs w:val="28"/>
        </w:rPr>
        <w:t xml:space="preserve"> al Registro Municipal y Archívese</w:t>
      </w:r>
    </w:p>
    <w:p w:rsidR="005B4DD9" w:rsidRDefault="005B4DD9">
      <w:pPr>
        <w:jc w:val="center"/>
        <w:rPr>
          <w:sz w:val="28"/>
          <w:szCs w:val="28"/>
        </w:rPr>
      </w:pPr>
    </w:p>
    <w:p w:rsidR="005B4DD9" w:rsidRDefault="005B4DD9">
      <w:pPr>
        <w:widowControl w:val="0"/>
        <w:jc w:val="both"/>
        <w:rPr>
          <w:sz w:val="28"/>
          <w:szCs w:val="28"/>
        </w:rPr>
      </w:pPr>
    </w:p>
    <w:p w:rsidR="005B4DD9" w:rsidRDefault="006C649E">
      <w:pPr>
        <w:jc w:val="both"/>
        <w:rPr>
          <w:sz w:val="22"/>
          <w:szCs w:val="22"/>
        </w:rPr>
      </w:pPr>
      <w:r>
        <w:rPr>
          <w:sz w:val="22"/>
          <w:szCs w:val="22"/>
        </w:rPr>
        <w:t>Dada en  sala de</w:t>
      </w:r>
    </w:p>
    <w:p w:rsidR="005B4DD9" w:rsidRDefault="003F767D">
      <w:pPr>
        <w:jc w:val="both"/>
        <w:rPr>
          <w:sz w:val="22"/>
          <w:szCs w:val="22"/>
        </w:rPr>
      </w:pPr>
      <w:r>
        <w:rPr>
          <w:sz w:val="22"/>
          <w:szCs w:val="22"/>
        </w:rPr>
        <w:t>Sesiones el 05</w:t>
      </w:r>
      <w:r w:rsidR="006C649E">
        <w:rPr>
          <w:sz w:val="22"/>
          <w:szCs w:val="22"/>
        </w:rPr>
        <w:t>/0</w:t>
      </w:r>
      <w:r>
        <w:rPr>
          <w:sz w:val="22"/>
          <w:szCs w:val="22"/>
        </w:rPr>
        <w:t>5</w:t>
      </w:r>
      <w:r w:rsidR="006C649E">
        <w:rPr>
          <w:sz w:val="22"/>
          <w:szCs w:val="22"/>
        </w:rPr>
        <w:t>/25</w:t>
      </w:r>
    </w:p>
    <w:p w:rsidR="005B4DD9" w:rsidRDefault="003F767D">
      <w:pPr>
        <w:jc w:val="both"/>
        <w:rPr>
          <w:sz w:val="22"/>
          <w:szCs w:val="22"/>
        </w:rPr>
      </w:pPr>
      <w:r>
        <w:rPr>
          <w:sz w:val="22"/>
          <w:szCs w:val="22"/>
        </w:rPr>
        <w:t>S/Acta Nº  11</w:t>
      </w:r>
    </w:p>
    <w:p w:rsidR="005B4DD9" w:rsidRDefault="005B4DD9"/>
    <w:sectPr w:rsidR="005B4DD9" w:rsidSect="007405B4">
      <w:headerReference w:type="default" r:id="rId7"/>
      <w:pgSz w:w="12240" w:h="20160" w:code="5"/>
      <w:pgMar w:top="1417" w:right="1701" w:bottom="1417" w:left="1701" w:header="708" w:footer="708"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1E88" w:rsidRDefault="00971E88">
      <w:r>
        <w:separator/>
      </w:r>
    </w:p>
  </w:endnote>
  <w:endnote w:type="continuationSeparator" w:id="0">
    <w:p w:rsidR="00971E88" w:rsidRDefault="00971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1E88" w:rsidRDefault="00971E88">
      <w:r>
        <w:separator/>
      </w:r>
    </w:p>
  </w:footnote>
  <w:footnote w:type="continuationSeparator" w:id="0">
    <w:p w:rsidR="00971E88" w:rsidRDefault="00971E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DD9" w:rsidRDefault="006C649E">
    <w:pPr>
      <w:pBdr>
        <w:top w:val="nil"/>
        <w:left w:val="nil"/>
        <w:bottom w:val="nil"/>
        <w:right w:val="nil"/>
        <w:between w:val="nil"/>
      </w:pBdr>
      <w:rPr>
        <w:color w:val="000000"/>
      </w:rPr>
    </w:pPr>
    <w:r>
      <w:rPr>
        <w:noProof/>
        <w:color w:val="000000"/>
        <w:lang w:val="es-AR" w:eastAsia="es-AR"/>
      </w:rPr>
      <w:drawing>
        <wp:inline distT="0" distB="0" distL="0" distR="0">
          <wp:extent cx="2269639" cy="624071"/>
          <wp:effectExtent l="0" t="0" r="0" b="0"/>
          <wp:docPr id="2" name="image1.png" descr="D:\Users\Secre\Desktop\LOGO.png"/>
          <wp:cNvGraphicFramePr/>
          <a:graphic xmlns:a="http://schemas.openxmlformats.org/drawingml/2006/main">
            <a:graphicData uri="http://schemas.openxmlformats.org/drawingml/2006/picture">
              <pic:pic xmlns:pic="http://schemas.openxmlformats.org/drawingml/2006/picture">
                <pic:nvPicPr>
                  <pic:cNvPr id="0" name="image1.png" descr="D:\Users\Secre\Desktop\LOGO.png"/>
                  <pic:cNvPicPr preferRelativeResize="0"/>
                </pic:nvPicPr>
                <pic:blipFill>
                  <a:blip r:embed="rId1"/>
                  <a:srcRect t="17199" b="13931"/>
                  <a:stretch>
                    <a:fillRect/>
                  </a:stretch>
                </pic:blipFill>
                <pic:spPr>
                  <a:xfrm>
                    <a:off x="0" y="0"/>
                    <a:ext cx="2269639" cy="624071"/>
                  </a:xfrm>
                  <a:prstGeom prst="rect">
                    <a:avLst/>
                  </a:prstGeom>
                  <a:ln/>
                </pic:spPr>
              </pic:pic>
            </a:graphicData>
          </a:graphic>
        </wp:inline>
      </w:drawing>
    </w:r>
  </w:p>
  <w:p w:rsidR="005B4DD9" w:rsidRDefault="005B4DD9">
    <w:pPr>
      <w:pBdr>
        <w:top w:val="nil"/>
        <w:left w:val="nil"/>
        <w:bottom w:val="nil"/>
        <w:right w:val="nil"/>
        <w:between w:val="nil"/>
      </w:pBdr>
      <w:tabs>
        <w:tab w:val="center" w:pos="4252"/>
        <w:tab w:val="right" w:pos="8504"/>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4DD9"/>
    <w:rsid w:val="003F767D"/>
    <w:rsid w:val="005B4DD9"/>
    <w:rsid w:val="006C649E"/>
    <w:rsid w:val="007405B4"/>
    <w:rsid w:val="00971E8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0A7141-7521-479F-9404-E66E00F76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_tradnl" w:eastAsia="es-A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66B5"/>
    <w:rPr>
      <w:lang w:val="es-ES" w:eastAsia="es-ES"/>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067D2D"/>
    <w:pPr>
      <w:tabs>
        <w:tab w:val="center" w:pos="4252"/>
        <w:tab w:val="right" w:pos="8504"/>
      </w:tabs>
    </w:pPr>
  </w:style>
  <w:style w:type="character" w:customStyle="1" w:styleId="EncabezadoCar">
    <w:name w:val="Encabezado Car"/>
    <w:basedOn w:val="Fuentedeprrafopredeter"/>
    <w:link w:val="Encabezado"/>
    <w:uiPriority w:val="99"/>
    <w:rsid w:val="00067D2D"/>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067D2D"/>
    <w:pPr>
      <w:tabs>
        <w:tab w:val="center" w:pos="4252"/>
        <w:tab w:val="right" w:pos="8504"/>
      </w:tabs>
    </w:pPr>
  </w:style>
  <w:style w:type="character" w:customStyle="1" w:styleId="PiedepginaCar">
    <w:name w:val="Pie de página Car"/>
    <w:basedOn w:val="Fuentedeprrafopredeter"/>
    <w:link w:val="Piedepgina"/>
    <w:uiPriority w:val="99"/>
    <w:rsid w:val="00067D2D"/>
    <w:rPr>
      <w:rFonts w:ascii="Times New Roman" w:eastAsia="Times New Roman" w:hAnsi="Times New Roman" w:cs="Times New Roman"/>
      <w:sz w:val="24"/>
      <w:szCs w:val="24"/>
      <w:lang w:val="es-ES" w:eastAsia="es-ES"/>
    </w:rPr>
  </w:style>
  <w:style w:type="paragraph" w:styleId="NormalWeb">
    <w:name w:val="Normal (Web)"/>
    <w:basedOn w:val="Normal"/>
    <w:uiPriority w:val="99"/>
    <w:semiHidden/>
    <w:unhideWhenUsed/>
    <w:rsid w:val="00067D2D"/>
    <w:pPr>
      <w:spacing w:before="100" w:beforeAutospacing="1" w:after="100" w:afterAutospacing="1"/>
    </w:pPr>
    <w:rPr>
      <w:lang w:val="es-AR" w:eastAsia="es-AR"/>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7405B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405B4"/>
    <w:rPr>
      <w:rFonts w:ascii="Segoe UI"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r75QdgoTdCXSLX4/dNmU+xGY0w==">CgMxLjAyDmgudGJlcWRteTNwcG1zOAByITFybjl6MHRuX0lOUlVZelBqNC1OMVhiNGlCWkhEU1NYYQ==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474</Words>
  <Characters>2607</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dc:creator>
  <cp:lastModifiedBy>Secre</cp:lastModifiedBy>
  <cp:revision>2</cp:revision>
  <cp:lastPrinted>2025-05-06T13:54:00Z</cp:lastPrinted>
  <dcterms:created xsi:type="dcterms:W3CDTF">2025-05-06T13:55:00Z</dcterms:created>
  <dcterms:modified xsi:type="dcterms:W3CDTF">2025-05-06T13:55:00Z</dcterms:modified>
</cp:coreProperties>
</file>