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741" w:rsidRDefault="00FB7741" w:rsidP="00FB7741">
      <w:pPr>
        <w:jc w:val="center"/>
        <w:rPr>
          <w:b/>
          <w:sz w:val="40"/>
          <w:szCs w:val="28"/>
        </w:rPr>
      </w:pPr>
      <w:r w:rsidRPr="00FB7741">
        <w:rPr>
          <w:b/>
          <w:sz w:val="40"/>
          <w:szCs w:val="28"/>
        </w:rPr>
        <w:t xml:space="preserve">ORDENANZA N° </w:t>
      </w:r>
      <w:r w:rsidRPr="00FB7741">
        <w:rPr>
          <w:b/>
          <w:sz w:val="40"/>
          <w:szCs w:val="28"/>
        </w:rPr>
        <w:t>1519/25</w:t>
      </w:r>
    </w:p>
    <w:p w:rsidR="00FB7741" w:rsidRPr="00FB7741" w:rsidRDefault="00FB7741" w:rsidP="00FB7741">
      <w:pPr>
        <w:jc w:val="center"/>
        <w:rPr>
          <w:sz w:val="22"/>
          <w:szCs w:val="28"/>
        </w:rPr>
      </w:pPr>
      <w:r w:rsidRPr="00FB7741">
        <w:rPr>
          <w:sz w:val="22"/>
          <w:szCs w:val="28"/>
        </w:rPr>
        <w:t>“Fondo permanente 2025”</w:t>
      </w:r>
    </w:p>
    <w:p w:rsidR="00FB7741" w:rsidRPr="00FB7741" w:rsidRDefault="00FB7741" w:rsidP="00FB7741">
      <w:pPr>
        <w:spacing w:line="360" w:lineRule="auto"/>
        <w:jc w:val="center"/>
        <w:rPr>
          <w:sz w:val="28"/>
          <w:szCs w:val="28"/>
          <w:u w:val="single"/>
        </w:rPr>
      </w:pPr>
    </w:p>
    <w:p w:rsidR="00FB7741" w:rsidRPr="00FB7741" w:rsidRDefault="00FB7741" w:rsidP="00FB7741">
      <w:pPr>
        <w:spacing w:line="360" w:lineRule="auto"/>
        <w:jc w:val="center"/>
        <w:rPr>
          <w:sz w:val="28"/>
          <w:szCs w:val="28"/>
          <w:u w:val="single"/>
        </w:rPr>
      </w:pPr>
    </w:p>
    <w:p w:rsidR="00FB7741" w:rsidRPr="00FB7741" w:rsidRDefault="00FB7741" w:rsidP="00FB7741">
      <w:pPr>
        <w:spacing w:line="360" w:lineRule="auto"/>
        <w:jc w:val="both"/>
        <w:rPr>
          <w:sz w:val="32"/>
          <w:szCs w:val="28"/>
        </w:rPr>
      </w:pPr>
      <w:r w:rsidRPr="00FB7741">
        <w:rPr>
          <w:b/>
          <w:sz w:val="32"/>
          <w:szCs w:val="28"/>
        </w:rPr>
        <w:t>VISTO:</w:t>
      </w:r>
      <w:bookmarkStart w:id="0" w:name="_GoBack"/>
      <w:bookmarkEnd w:id="0"/>
    </w:p>
    <w:p w:rsidR="00FB7741" w:rsidRPr="00FB7741" w:rsidRDefault="00FB7741" w:rsidP="00FB7741">
      <w:pPr>
        <w:tabs>
          <w:tab w:val="left" w:pos="720"/>
        </w:tabs>
        <w:spacing w:line="360" w:lineRule="auto"/>
        <w:jc w:val="both"/>
        <w:rPr>
          <w:sz w:val="28"/>
          <w:szCs w:val="28"/>
        </w:rPr>
      </w:pPr>
      <w:r w:rsidRPr="00FB7741">
        <w:rPr>
          <w:sz w:val="28"/>
          <w:szCs w:val="28"/>
        </w:rPr>
        <w:t xml:space="preserve">           </w:t>
      </w:r>
      <w:r w:rsidRPr="00FB7741">
        <w:rPr>
          <w:sz w:val="28"/>
          <w:szCs w:val="28"/>
        </w:rPr>
        <w:tab/>
        <w:t>La necesidad de dictar un instrumento legal por parte de este Cuerpo Deliberativo, por el cual la Municipalidad de Tanti solicite un préstamo del Fondo Permanente para la Financiación de Proyectos y Programas de los Gobiernos Locales de La Provincia de Córdoba para el destino que se adjunta a la presente.</w:t>
      </w:r>
    </w:p>
    <w:p w:rsidR="00FB7741" w:rsidRPr="00FB7741" w:rsidRDefault="00FB7741" w:rsidP="00FB7741">
      <w:pPr>
        <w:tabs>
          <w:tab w:val="left" w:pos="720"/>
        </w:tabs>
        <w:spacing w:line="360" w:lineRule="auto"/>
        <w:jc w:val="both"/>
        <w:rPr>
          <w:sz w:val="28"/>
          <w:szCs w:val="28"/>
        </w:rPr>
      </w:pPr>
    </w:p>
    <w:p w:rsidR="00FB7741" w:rsidRDefault="00FB7741" w:rsidP="00FB7741">
      <w:pPr>
        <w:tabs>
          <w:tab w:val="left" w:pos="720"/>
          <w:tab w:val="left" w:pos="2160"/>
        </w:tabs>
        <w:spacing w:line="360" w:lineRule="auto"/>
        <w:jc w:val="both"/>
        <w:rPr>
          <w:b/>
          <w:sz w:val="32"/>
          <w:szCs w:val="28"/>
        </w:rPr>
      </w:pPr>
      <w:r w:rsidRPr="00FB7741">
        <w:rPr>
          <w:b/>
          <w:sz w:val="32"/>
          <w:szCs w:val="28"/>
        </w:rPr>
        <w:t>Y CONSIDERANDO:</w:t>
      </w:r>
    </w:p>
    <w:p w:rsidR="00FB7741" w:rsidRPr="00FB7741" w:rsidRDefault="00FB7741" w:rsidP="00FB7741">
      <w:pPr>
        <w:spacing w:line="360" w:lineRule="auto"/>
        <w:jc w:val="center"/>
        <w:rPr>
          <w:sz w:val="28"/>
          <w:szCs w:val="28"/>
          <w:u w:val="single"/>
        </w:rPr>
      </w:pPr>
    </w:p>
    <w:p w:rsidR="00FB7741" w:rsidRDefault="00FB7741" w:rsidP="00FB7741">
      <w:pPr>
        <w:tabs>
          <w:tab w:val="left" w:pos="720"/>
        </w:tabs>
        <w:spacing w:line="360" w:lineRule="auto"/>
        <w:jc w:val="both"/>
        <w:rPr>
          <w:sz w:val="28"/>
          <w:szCs w:val="28"/>
        </w:rPr>
      </w:pPr>
      <w:r w:rsidRPr="00FB7741">
        <w:rPr>
          <w:sz w:val="28"/>
          <w:szCs w:val="28"/>
        </w:rPr>
        <w:tab/>
      </w:r>
      <w:r>
        <w:rPr>
          <w:sz w:val="28"/>
          <w:szCs w:val="28"/>
        </w:rPr>
        <w:t xml:space="preserve">           </w:t>
      </w:r>
      <w:r w:rsidRPr="00FB7741">
        <w:rPr>
          <w:sz w:val="28"/>
          <w:szCs w:val="28"/>
        </w:rPr>
        <w:t xml:space="preserve">Que reunido en su sede y previa convocatoria realizada al efecto, después de considerar y debatir el tema, en el marco del Fondo Federal 2025 formalizado mediante Convenio N° 21/2025 y la Resolución N° 02/2025 de la Unidad de Trabajo Provincia – Municipios y Comunas la cual dispuso la reestructuración del Fondo Permanente para la Financiación de Proyectos y Programas de los Gobiernos Locales de la Provincia de Córdoba, ampliando los recursos disponibles por parte de los Gobiernos Locales. </w:t>
      </w:r>
    </w:p>
    <w:p w:rsidR="00FB7741" w:rsidRPr="00FB7741" w:rsidRDefault="00FB7741" w:rsidP="00FB7741">
      <w:pPr>
        <w:tabs>
          <w:tab w:val="left" w:pos="720"/>
        </w:tabs>
        <w:spacing w:line="360" w:lineRule="auto"/>
        <w:jc w:val="both"/>
        <w:rPr>
          <w:sz w:val="28"/>
          <w:szCs w:val="28"/>
        </w:rPr>
      </w:pPr>
    </w:p>
    <w:p w:rsidR="00FB7741" w:rsidRPr="00FB7741" w:rsidRDefault="00FB7741" w:rsidP="00FB7741">
      <w:pPr>
        <w:spacing w:line="360" w:lineRule="auto"/>
        <w:jc w:val="center"/>
        <w:rPr>
          <w:sz w:val="28"/>
          <w:szCs w:val="28"/>
        </w:rPr>
      </w:pPr>
      <w:r w:rsidRPr="00FB7741">
        <w:rPr>
          <w:sz w:val="28"/>
          <w:szCs w:val="28"/>
        </w:rPr>
        <w:t xml:space="preserve">Por ello, y en ejercicio de las funciones de su competencia              </w:t>
      </w:r>
    </w:p>
    <w:p w:rsidR="00FB7741" w:rsidRDefault="00FB7741" w:rsidP="00FB7741">
      <w:pPr>
        <w:spacing w:line="360" w:lineRule="auto"/>
        <w:rPr>
          <w:sz w:val="28"/>
          <w:szCs w:val="28"/>
        </w:rPr>
      </w:pPr>
    </w:p>
    <w:p w:rsidR="00FB7741" w:rsidRPr="00FB7741" w:rsidRDefault="00FB7741" w:rsidP="00FB7741">
      <w:pPr>
        <w:spacing w:line="360" w:lineRule="auto"/>
        <w:jc w:val="center"/>
        <w:rPr>
          <w:b/>
          <w:sz w:val="32"/>
          <w:szCs w:val="28"/>
        </w:rPr>
      </w:pPr>
      <w:r w:rsidRPr="00FB7741">
        <w:rPr>
          <w:b/>
          <w:sz w:val="32"/>
          <w:szCs w:val="28"/>
        </w:rPr>
        <w:t>EL</w:t>
      </w:r>
      <w:r w:rsidRPr="00FB7741">
        <w:rPr>
          <w:b/>
          <w:sz w:val="32"/>
          <w:szCs w:val="28"/>
        </w:rPr>
        <w:t xml:space="preserve"> CONCEJO DELIBERANTE DE </w:t>
      </w:r>
      <w:r w:rsidRPr="00FB7741">
        <w:rPr>
          <w:b/>
          <w:sz w:val="32"/>
          <w:szCs w:val="28"/>
        </w:rPr>
        <w:t>LA MUNICIPALIDAD</w:t>
      </w:r>
    </w:p>
    <w:p w:rsidR="00FB7741" w:rsidRPr="00FB7741" w:rsidRDefault="00FB7741" w:rsidP="00FB7741">
      <w:pPr>
        <w:spacing w:line="360" w:lineRule="auto"/>
        <w:jc w:val="center"/>
        <w:rPr>
          <w:b/>
          <w:sz w:val="32"/>
          <w:szCs w:val="28"/>
        </w:rPr>
      </w:pPr>
      <w:r w:rsidRPr="00FB7741">
        <w:rPr>
          <w:b/>
          <w:sz w:val="32"/>
          <w:szCs w:val="28"/>
        </w:rPr>
        <w:t xml:space="preserve"> DE TANTI </w:t>
      </w:r>
      <w:r w:rsidRPr="00FB7741">
        <w:rPr>
          <w:b/>
          <w:sz w:val="32"/>
          <w:szCs w:val="28"/>
        </w:rPr>
        <w:t>SANCIONA CON FUERZA DE</w:t>
      </w:r>
    </w:p>
    <w:p w:rsidR="00FB7741" w:rsidRPr="00FB7741" w:rsidRDefault="00FB7741" w:rsidP="00FB7741">
      <w:pPr>
        <w:spacing w:line="360" w:lineRule="auto"/>
        <w:jc w:val="center"/>
        <w:rPr>
          <w:sz w:val="32"/>
          <w:szCs w:val="28"/>
        </w:rPr>
      </w:pPr>
      <w:r w:rsidRPr="00FB7741">
        <w:rPr>
          <w:b/>
          <w:sz w:val="32"/>
          <w:szCs w:val="28"/>
        </w:rPr>
        <w:t>ORDENANZA</w:t>
      </w:r>
    </w:p>
    <w:p w:rsidR="00FB7741" w:rsidRPr="00FB7741" w:rsidRDefault="00FB7741" w:rsidP="00FB7741">
      <w:pPr>
        <w:spacing w:line="360" w:lineRule="auto"/>
        <w:jc w:val="both"/>
        <w:rPr>
          <w:sz w:val="28"/>
          <w:szCs w:val="28"/>
        </w:rPr>
      </w:pPr>
    </w:p>
    <w:p w:rsidR="00FB7741" w:rsidRPr="00FB7741" w:rsidRDefault="00FB7741" w:rsidP="00FB7741">
      <w:pPr>
        <w:spacing w:line="360" w:lineRule="auto"/>
        <w:jc w:val="both"/>
        <w:rPr>
          <w:sz w:val="28"/>
          <w:szCs w:val="28"/>
        </w:rPr>
      </w:pPr>
      <w:r w:rsidRPr="00FB7741">
        <w:rPr>
          <w:b/>
          <w:sz w:val="28"/>
          <w:szCs w:val="28"/>
        </w:rPr>
        <w:t xml:space="preserve">ARTÍCULO 1°. - </w:t>
      </w:r>
      <w:r w:rsidRPr="00FB7741">
        <w:rPr>
          <w:sz w:val="28"/>
          <w:szCs w:val="28"/>
        </w:rPr>
        <w:t>APRUÉBASE el Proyecto de obra: Pago a Proveedores que se incorpora como ANEXO I de esta Ordenanza.</w:t>
      </w:r>
    </w:p>
    <w:p w:rsidR="00FB7741" w:rsidRPr="00FB7741" w:rsidRDefault="00FB7741" w:rsidP="00FB7741">
      <w:pPr>
        <w:spacing w:line="360" w:lineRule="auto"/>
        <w:jc w:val="both"/>
        <w:rPr>
          <w:sz w:val="28"/>
          <w:szCs w:val="28"/>
        </w:rPr>
      </w:pPr>
    </w:p>
    <w:p w:rsidR="00FB7741" w:rsidRPr="00FB7741" w:rsidRDefault="00FB7741" w:rsidP="00FB7741">
      <w:pPr>
        <w:spacing w:line="360" w:lineRule="auto"/>
        <w:jc w:val="both"/>
        <w:rPr>
          <w:sz w:val="28"/>
          <w:szCs w:val="28"/>
        </w:rPr>
      </w:pPr>
      <w:r w:rsidRPr="00FB7741">
        <w:rPr>
          <w:b/>
          <w:sz w:val="28"/>
          <w:szCs w:val="28"/>
        </w:rPr>
        <w:t>ARTÍCULO 2°. -</w:t>
      </w:r>
      <w:r w:rsidRPr="00FB7741">
        <w:rPr>
          <w:sz w:val="28"/>
          <w:szCs w:val="28"/>
        </w:rPr>
        <w:t xml:space="preserve"> FACÚLTASE al Departamento Ejecutivo Municipal para que gestione y tome del FONDO PERMANENTE PARA LA FINANCIACION DE PROYECTOS Y PROGRAMAS DE LOS GOBIERNOS LOCALES DE LA PROVINCIA DE CORDOBA, un préstamo </w:t>
      </w:r>
      <w:r w:rsidRPr="00FB7741">
        <w:rPr>
          <w:sz w:val="28"/>
          <w:szCs w:val="28"/>
        </w:rPr>
        <w:lastRenderedPageBreak/>
        <w:t>de hasta pesos SESENTA MILLONES ($ 60.000.000) con destino a la ejecución del proyecto que se aprueba por el artículo 1º.</w:t>
      </w:r>
    </w:p>
    <w:p w:rsidR="00FB7741" w:rsidRPr="00FB7741" w:rsidRDefault="00FB7741" w:rsidP="00FB7741">
      <w:pPr>
        <w:spacing w:line="360" w:lineRule="auto"/>
        <w:jc w:val="both"/>
        <w:rPr>
          <w:sz w:val="28"/>
          <w:szCs w:val="28"/>
        </w:rPr>
      </w:pPr>
    </w:p>
    <w:p w:rsidR="00FB7741" w:rsidRPr="00FB7741" w:rsidRDefault="00FB7741" w:rsidP="00FB7741">
      <w:pPr>
        <w:tabs>
          <w:tab w:val="left" w:pos="940"/>
        </w:tabs>
        <w:spacing w:line="360" w:lineRule="auto"/>
        <w:jc w:val="both"/>
        <w:rPr>
          <w:sz w:val="28"/>
          <w:szCs w:val="28"/>
        </w:rPr>
      </w:pPr>
      <w:r w:rsidRPr="00FB7741">
        <w:rPr>
          <w:b/>
          <w:sz w:val="28"/>
          <w:szCs w:val="28"/>
        </w:rPr>
        <w:t xml:space="preserve">ARTÍCULO 3°. - </w:t>
      </w:r>
      <w:r w:rsidRPr="00FB7741">
        <w:rPr>
          <w:sz w:val="28"/>
          <w:szCs w:val="28"/>
        </w:rPr>
        <w:t>FACÚLTASE al Departamento Ejecutivo para que, en pago del crédito, ceda al Fondo Permanente, de la coparticipación que mensualmente corresponda al Municipio en los impuestos provinciales, hasta la suma de Pesos UN MILLON ($ 1.000.000) mensuales, durante el término máximo de SESENTA (60) meses.</w:t>
      </w:r>
    </w:p>
    <w:p w:rsidR="00FB7741" w:rsidRPr="00FB7741" w:rsidRDefault="00FB7741" w:rsidP="00FB7741">
      <w:pPr>
        <w:tabs>
          <w:tab w:val="left" w:pos="940"/>
        </w:tabs>
        <w:spacing w:line="360" w:lineRule="auto"/>
        <w:jc w:val="both"/>
        <w:rPr>
          <w:sz w:val="28"/>
          <w:szCs w:val="28"/>
        </w:rPr>
      </w:pPr>
    </w:p>
    <w:p w:rsidR="00FB7741" w:rsidRPr="00FB7741" w:rsidRDefault="00FB7741" w:rsidP="00FB7741">
      <w:pPr>
        <w:tabs>
          <w:tab w:val="left" w:pos="940"/>
        </w:tabs>
        <w:spacing w:line="360" w:lineRule="auto"/>
        <w:jc w:val="both"/>
        <w:rPr>
          <w:sz w:val="28"/>
          <w:szCs w:val="28"/>
        </w:rPr>
      </w:pPr>
      <w:r w:rsidRPr="00FB7741">
        <w:rPr>
          <w:b/>
          <w:sz w:val="28"/>
          <w:szCs w:val="28"/>
        </w:rPr>
        <w:t xml:space="preserve">ARTÍCULO 4°. - </w:t>
      </w:r>
      <w:r w:rsidRPr="00FB7741">
        <w:rPr>
          <w:sz w:val="28"/>
          <w:szCs w:val="28"/>
        </w:rPr>
        <w:t>El Departamento Ejecutivo deberá notificar formalmente a la Provincia de la cesión de la coparticipación, anoticiándola de que, en mérito a tal cesión, deberá mensualmente pagarse la suma cedida directamente al Fondo Permanente.</w:t>
      </w:r>
    </w:p>
    <w:p w:rsidR="00FB7741" w:rsidRPr="00FB7741" w:rsidRDefault="00FB7741" w:rsidP="00FB7741">
      <w:pPr>
        <w:tabs>
          <w:tab w:val="left" w:pos="940"/>
        </w:tabs>
        <w:spacing w:line="360" w:lineRule="auto"/>
        <w:jc w:val="both"/>
        <w:rPr>
          <w:sz w:val="28"/>
          <w:szCs w:val="28"/>
        </w:rPr>
      </w:pPr>
    </w:p>
    <w:p w:rsidR="00FB7741" w:rsidRPr="00FB7741" w:rsidRDefault="00FB7741" w:rsidP="00FB7741">
      <w:pPr>
        <w:tabs>
          <w:tab w:val="left" w:pos="940"/>
        </w:tabs>
        <w:spacing w:line="360" w:lineRule="auto"/>
        <w:jc w:val="both"/>
        <w:rPr>
          <w:sz w:val="28"/>
          <w:szCs w:val="28"/>
        </w:rPr>
      </w:pPr>
      <w:r w:rsidRPr="00FB7741">
        <w:rPr>
          <w:b/>
          <w:sz w:val="28"/>
          <w:szCs w:val="28"/>
        </w:rPr>
        <w:t xml:space="preserve">ARTÍCULO 5°. - </w:t>
      </w:r>
      <w:r w:rsidRPr="00FB7741">
        <w:rPr>
          <w:sz w:val="28"/>
          <w:szCs w:val="28"/>
        </w:rPr>
        <w:t>FACÚLTASE al Departamento Ejecutivo para que garantice la existencia y cobrabilidad del crédito tomado, con los recursos del Municipio provenientes de otras fuentes que no sean la coparticipación en los impuestos provinciales.</w:t>
      </w:r>
    </w:p>
    <w:p w:rsidR="00FB7741" w:rsidRPr="00FB7741" w:rsidRDefault="00FB7741" w:rsidP="00FB7741">
      <w:pPr>
        <w:tabs>
          <w:tab w:val="left" w:pos="940"/>
        </w:tabs>
        <w:spacing w:line="360" w:lineRule="auto"/>
        <w:jc w:val="both"/>
        <w:rPr>
          <w:sz w:val="28"/>
          <w:szCs w:val="28"/>
        </w:rPr>
      </w:pPr>
    </w:p>
    <w:p w:rsidR="00FB7741" w:rsidRPr="00FB7741" w:rsidRDefault="00FB7741" w:rsidP="00FB7741">
      <w:pPr>
        <w:tabs>
          <w:tab w:val="left" w:pos="940"/>
        </w:tabs>
        <w:spacing w:line="360" w:lineRule="auto"/>
        <w:jc w:val="both"/>
        <w:rPr>
          <w:sz w:val="28"/>
          <w:szCs w:val="28"/>
        </w:rPr>
      </w:pPr>
      <w:r w:rsidRPr="00FB7741">
        <w:rPr>
          <w:b/>
          <w:sz w:val="28"/>
          <w:szCs w:val="28"/>
        </w:rPr>
        <w:t xml:space="preserve">ARTÍCULO 6°. - </w:t>
      </w:r>
      <w:r w:rsidRPr="00FB7741">
        <w:rPr>
          <w:sz w:val="28"/>
          <w:szCs w:val="28"/>
        </w:rPr>
        <w:t>El Departamento Ejecutivo informará al Concejo Deliberante, antes del día diez de cada mes, el estado de ejecución del proyecto aprobado en el artículo 1º y al mismo tiempo y rendirá cuenta documentada de la utilización de los fondos tomados.</w:t>
      </w:r>
    </w:p>
    <w:p w:rsidR="00FB7741" w:rsidRPr="00FB7741" w:rsidRDefault="00FB7741" w:rsidP="00FB7741">
      <w:pPr>
        <w:tabs>
          <w:tab w:val="left" w:pos="940"/>
        </w:tabs>
        <w:spacing w:line="360" w:lineRule="auto"/>
        <w:jc w:val="both"/>
        <w:rPr>
          <w:sz w:val="28"/>
          <w:szCs w:val="28"/>
        </w:rPr>
      </w:pPr>
    </w:p>
    <w:p w:rsidR="00FB7741" w:rsidRDefault="00FB7741" w:rsidP="00FB7741">
      <w:pPr>
        <w:tabs>
          <w:tab w:val="left" w:pos="940"/>
        </w:tabs>
        <w:spacing w:line="360" w:lineRule="auto"/>
        <w:jc w:val="both"/>
        <w:rPr>
          <w:sz w:val="28"/>
          <w:szCs w:val="28"/>
        </w:rPr>
      </w:pPr>
      <w:r w:rsidRPr="00FB7741">
        <w:rPr>
          <w:b/>
          <w:sz w:val="28"/>
          <w:szCs w:val="28"/>
        </w:rPr>
        <w:t xml:space="preserve">ARTÍCULO 7°. - </w:t>
      </w:r>
      <w:r w:rsidRPr="00FB7741">
        <w:rPr>
          <w:sz w:val="28"/>
          <w:szCs w:val="28"/>
        </w:rPr>
        <w:t>COMUNÍQUESE, PUBLÍQUESE, DÉSE AL REGISTRO MUNICIPAL Y ARCHÍVESE.</w:t>
      </w:r>
    </w:p>
    <w:p w:rsidR="00FB7741" w:rsidRPr="00FB7741" w:rsidRDefault="00FB7741" w:rsidP="00FB7741">
      <w:pPr>
        <w:tabs>
          <w:tab w:val="left" w:pos="940"/>
        </w:tabs>
        <w:spacing w:line="360" w:lineRule="auto"/>
        <w:jc w:val="both"/>
        <w:rPr>
          <w:sz w:val="28"/>
          <w:szCs w:val="28"/>
        </w:rPr>
      </w:pPr>
    </w:p>
    <w:p w:rsidR="00FB7741" w:rsidRPr="00FB7741" w:rsidRDefault="00FB7741" w:rsidP="00FB7741">
      <w:pPr>
        <w:tabs>
          <w:tab w:val="left" w:pos="940"/>
        </w:tabs>
        <w:jc w:val="both"/>
        <w:rPr>
          <w:sz w:val="22"/>
          <w:szCs w:val="28"/>
        </w:rPr>
      </w:pPr>
      <w:r w:rsidRPr="00FB7741">
        <w:rPr>
          <w:sz w:val="22"/>
          <w:szCs w:val="28"/>
        </w:rPr>
        <w:t xml:space="preserve">Dada en Sala de </w:t>
      </w:r>
    </w:p>
    <w:p w:rsidR="00FB7741" w:rsidRPr="00FB7741" w:rsidRDefault="00FB7741" w:rsidP="00FB7741">
      <w:pPr>
        <w:tabs>
          <w:tab w:val="left" w:pos="940"/>
        </w:tabs>
        <w:jc w:val="both"/>
        <w:rPr>
          <w:sz w:val="22"/>
          <w:szCs w:val="28"/>
        </w:rPr>
      </w:pPr>
      <w:r w:rsidRPr="00FB7741">
        <w:rPr>
          <w:sz w:val="22"/>
          <w:szCs w:val="28"/>
        </w:rPr>
        <w:t>Sesiones el 19/05/25</w:t>
      </w:r>
    </w:p>
    <w:p w:rsidR="00FB7741" w:rsidRPr="00FB7741" w:rsidRDefault="00FB7741" w:rsidP="00FB7741">
      <w:pPr>
        <w:tabs>
          <w:tab w:val="left" w:pos="940"/>
        </w:tabs>
        <w:jc w:val="both"/>
        <w:rPr>
          <w:sz w:val="22"/>
          <w:szCs w:val="28"/>
        </w:rPr>
      </w:pPr>
      <w:r w:rsidRPr="00FB7741">
        <w:rPr>
          <w:sz w:val="22"/>
          <w:szCs w:val="28"/>
        </w:rPr>
        <w:t>S/ Acta Nº 12</w:t>
      </w:r>
    </w:p>
    <w:p w:rsidR="00FB7741" w:rsidRDefault="00FB7741" w:rsidP="00FB7741">
      <w:pPr>
        <w:spacing w:line="256" w:lineRule="auto"/>
        <w:jc w:val="center"/>
        <w:rPr>
          <w:b/>
          <w:sz w:val="28"/>
          <w:szCs w:val="28"/>
        </w:rPr>
      </w:pPr>
      <w:r w:rsidRPr="00FB7741">
        <w:rPr>
          <w:b/>
          <w:sz w:val="28"/>
          <w:szCs w:val="28"/>
        </w:rPr>
        <w:t>ANEXO I</w:t>
      </w:r>
    </w:p>
    <w:p w:rsidR="00FB7741" w:rsidRPr="00FB7741" w:rsidRDefault="00FB7741" w:rsidP="00FB7741">
      <w:pPr>
        <w:spacing w:line="256" w:lineRule="auto"/>
        <w:jc w:val="center"/>
        <w:rPr>
          <w:sz w:val="28"/>
          <w:szCs w:val="28"/>
        </w:rPr>
      </w:pPr>
      <w:r w:rsidRPr="00FB7741">
        <w:rPr>
          <w:sz w:val="22"/>
          <w:szCs w:val="28"/>
        </w:rPr>
        <w:t>Ord. 1519/25</w:t>
      </w:r>
    </w:p>
    <w:p w:rsidR="00FB7741" w:rsidRPr="00FB7741" w:rsidRDefault="00FB7741" w:rsidP="00FB7741">
      <w:pPr>
        <w:spacing w:line="256" w:lineRule="auto"/>
        <w:jc w:val="center"/>
        <w:rPr>
          <w:sz w:val="28"/>
          <w:szCs w:val="28"/>
        </w:rPr>
      </w:pPr>
    </w:p>
    <w:p w:rsidR="00FB7741" w:rsidRPr="00FB7741" w:rsidRDefault="00FB7741" w:rsidP="00FB7741">
      <w:pPr>
        <w:spacing w:line="256" w:lineRule="auto"/>
        <w:jc w:val="center"/>
        <w:rPr>
          <w:sz w:val="28"/>
          <w:szCs w:val="28"/>
        </w:rPr>
      </w:pPr>
      <w:r w:rsidRPr="00FB7741">
        <w:rPr>
          <w:b/>
          <w:sz w:val="28"/>
          <w:szCs w:val="28"/>
        </w:rPr>
        <w:t>LISTADO DE PROVEEDORES</w:t>
      </w:r>
    </w:p>
    <w:tbl>
      <w:tblPr>
        <w:tblW w:w="87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72"/>
        <w:gridCol w:w="4348"/>
      </w:tblGrid>
      <w:tr w:rsidR="00FB7741" w:rsidRPr="00FB7741" w:rsidTr="00F95427">
        <w:tc>
          <w:tcPr>
            <w:tcW w:w="4372" w:type="dxa"/>
            <w:tcBorders>
              <w:top w:val="single" w:sz="4" w:space="0" w:color="000000"/>
              <w:left w:val="single" w:sz="4" w:space="0" w:color="000000"/>
              <w:bottom w:val="single" w:sz="4" w:space="0" w:color="000000"/>
              <w:right w:val="single" w:sz="4" w:space="0" w:color="000000"/>
            </w:tcBorders>
          </w:tcPr>
          <w:p w:rsidR="00FB7741" w:rsidRPr="00FB7741" w:rsidRDefault="00FB7741" w:rsidP="00F95427">
            <w:pPr>
              <w:jc w:val="center"/>
              <w:rPr>
                <w:sz w:val="28"/>
                <w:szCs w:val="28"/>
              </w:rPr>
            </w:pPr>
            <w:r w:rsidRPr="00FB7741">
              <w:rPr>
                <w:b/>
                <w:sz w:val="28"/>
                <w:szCs w:val="28"/>
              </w:rPr>
              <w:t>PROVEEDOR</w:t>
            </w:r>
          </w:p>
        </w:tc>
        <w:tc>
          <w:tcPr>
            <w:tcW w:w="4348" w:type="dxa"/>
            <w:tcBorders>
              <w:top w:val="single" w:sz="4" w:space="0" w:color="000000"/>
              <w:left w:val="single" w:sz="4" w:space="0" w:color="000000"/>
              <w:bottom w:val="single" w:sz="4" w:space="0" w:color="000000"/>
              <w:right w:val="single" w:sz="4" w:space="0" w:color="000000"/>
            </w:tcBorders>
          </w:tcPr>
          <w:p w:rsidR="00FB7741" w:rsidRPr="00FB7741" w:rsidRDefault="00FB7741" w:rsidP="00F95427">
            <w:pPr>
              <w:jc w:val="center"/>
              <w:rPr>
                <w:sz w:val="28"/>
                <w:szCs w:val="28"/>
              </w:rPr>
            </w:pPr>
            <w:r w:rsidRPr="00FB7741">
              <w:rPr>
                <w:b/>
                <w:sz w:val="28"/>
                <w:szCs w:val="28"/>
              </w:rPr>
              <w:t>C.U.I.T.</w:t>
            </w:r>
          </w:p>
        </w:tc>
      </w:tr>
      <w:tr w:rsidR="00FB7741" w:rsidRPr="00FB7741" w:rsidTr="00F95427">
        <w:tc>
          <w:tcPr>
            <w:tcW w:w="4372" w:type="dxa"/>
            <w:tcBorders>
              <w:top w:val="single" w:sz="4" w:space="0" w:color="000000"/>
              <w:left w:val="single" w:sz="4" w:space="0" w:color="000000"/>
              <w:bottom w:val="single" w:sz="4" w:space="0" w:color="000000"/>
              <w:right w:val="single" w:sz="4" w:space="0" w:color="000000"/>
            </w:tcBorders>
          </w:tcPr>
          <w:p w:rsidR="00FB7741" w:rsidRPr="00FB7741" w:rsidRDefault="00FB7741" w:rsidP="00F95427">
            <w:pPr>
              <w:rPr>
                <w:szCs w:val="28"/>
              </w:rPr>
            </w:pPr>
            <w:r w:rsidRPr="00FB7741">
              <w:rPr>
                <w:szCs w:val="28"/>
              </w:rPr>
              <w:t>EMPRENDIMIENTOS S.R.L. (Fono Bus)</w:t>
            </w:r>
          </w:p>
          <w:p w:rsidR="00FB7741" w:rsidRPr="00FB7741" w:rsidRDefault="00FB7741" w:rsidP="00F95427">
            <w:pPr>
              <w:rPr>
                <w:szCs w:val="28"/>
              </w:rPr>
            </w:pPr>
            <w:r w:rsidRPr="00FB7741">
              <w:rPr>
                <w:szCs w:val="28"/>
              </w:rPr>
              <w:t xml:space="preserve">ESER S.A. (YPF Villa Carlos Paz) </w:t>
            </w:r>
          </w:p>
          <w:p w:rsidR="00FB7741" w:rsidRPr="00FB7741" w:rsidRDefault="00FB7741" w:rsidP="00F95427">
            <w:pPr>
              <w:rPr>
                <w:szCs w:val="28"/>
              </w:rPr>
            </w:pPr>
            <w:r w:rsidRPr="00FB7741">
              <w:rPr>
                <w:szCs w:val="28"/>
              </w:rPr>
              <w:t>CENTRO BEBIDAS S.R.L. (Shell Tanti)</w:t>
            </w:r>
          </w:p>
        </w:tc>
        <w:tc>
          <w:tcPr>
            <w:tcW w:w="4348" w:type="dxa"/>
            <w:tcBorders>
              <w:top w:val="single" w:sz="4" w:space="0" w:color="000000"/>
              <w:left w:val="single" w:sz="4" w:space="0" w:color="000000"/>
              <w:bottom w:val="single" w:sz="4" w:space="0" w:color="000000"/>
              <w:right w:val="single" w:sz="4" w:space="0" w:color="000000"/>
            </w:tcBorders>
          </w:tcPr>
          <w:p w:rsidR="00FB7741" w:rsidRPr="00FB7741" w:rsidRDefault="00FB7741" w:rsidP="00F95427">
            <w:pPr>
              <w:jc w:val="center"/>
              <w:rPr>
                <w:szCs w:val="28"/>
              </w:rPr>
            </w:pPr>
            <w:r w:rsidRPr="00FB7741">
              <w:rPr>
                <w:szCs w:val="28"/>
              </w:rPr>
              <w:t>30-67871436-4</w:t>
            </w:r>
          </w:p>
          <w:p w:rsidR="00FB7741" w:rsidRPr="00FB7741" w:rsidRDefault="00FB7741" w:rsidP="00F95427">
            <w:pPr>
              <w:jc w:val="center"/>
              <w:rPr>
                <w:szCs w:val="28"/>
              </w:rPr>
            </w:pPr>
            <w:r w:rsidRPr="00FB7741">
              <w:rPr>
                <w:szCs w:val="28"/>
              </w:rPr>
              <w:t>33-68762353-9</w:t>
            </w:r>
          </w:p>
          <w:p w:rsidR="00FB7741" w:rsidRPr="00FB7741" w:rsidRDefault="00FB7741" w:rsidP="00F95427">
            <w:pPr>
              <w:jc w:val="center"/>
              <w:rPr>
                <w:sz w:val="28"/>
                <w:szCs w:val="28"/>
              </w:rPr>
            </w:pPr>
            <w:r w:rsidRPr="00FB7741">
              <w:rPr>
                <w:szCs w:val="28"/>
              </w:rPr>
              <w:t>30-69887189-6</w:t>
            </w:r>
          </w:p>
        </w:tc>
      </w:tr>
    </w:tbl>
    <w:p w:rsidR="00FB7741" w:rsidRPr="00FB7741" w:rsidRDefault="00FB7741" w:rsidP="00FB7741">
      <w:pPr>
        <w:tabs>
          <w:tab w:val="left" w:pos="940"/>
        </w:tabs>
        <w:spacing w:line="360" w:lineRule="auto"/>
        <w:jc w:val="both"/>
        <w:rPr>
          <w:sz w:val="28"/>
          <w:szCs w:val="28"/>
        </w:rPr>
      </w:pPr>
    </w:p>
    <w:sectPr w:rsidR="00FB7741" w:rsidRPr="00FB7741" w:rsidSect="00FB7741">
      <w:headerReference w:type="default" r:id="rId6"/>
      <w:pgSz w:w="12240" w:h="20160" w:code="5"/>
      <w:pgMar w:top="1417" w:right="1701" w:bottom="1417" w:left="1701" w:header="708" w:footer="708"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23DB" w:rsidRDefault="005523DB" w:rsidP="00FB7741">
      <w:r>
        <w:separator/>
      </w:r>
    </w:p>
  </w:endnote>
  <w:endnote w:type="continuationSeparator" w:id="0">
    <w:p w:rsidR="005523DB" w:rsidRDefault="005523DB" w:rsidP="00FB77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23DB" w:rsidRDefault="005523DB" w:rsidP="00FB7741">
      <w:r>
        <w:separator/>
      </w:r>
    </w:p>
  </w:footnote>
  <w:footnote w:type="continuationSeparator" w:id="0">
    <w:p w:rsidR="005523DB" w:rsidRDefault="005523DB" w:rsidP="00FB77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79E6" w:rsidRDefault="00FB7741" w:rsidP="00FB7741">
    <w:pPr>
      <w:pStyle w:val="NormalWeb"/>
      <w:rPr>
        <w:color w:val="000000"/>
      </w:rPr>
    </w:pPr>
    <w:r>
      <w:rPr>
        <w:noProof/>
      </w:rPr>
      <w:drawing>
        <wp:inline distT="0" distB="0" distL="0" distR="0" wp14:anchorId="287626AE" wp14:editId="1F081534">
          <wp:extent cx="2682240" cy="642850"/>
          <wp:effectExtent l="0" t="0" r="3810" b="5080"/>
          <wp:docPr id="2" name="Imagen 2" descr="D:\Users\Secre\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Secre\Desktop\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947" t="23051" r="811" b="17966"/>
                  <a:stretch/>
                </pic:blipFill>
                <pic:spPr bwMode="auto">
                  <a:xfrm>
                    <a:off x="0" y="0"/>
                    <a:ext cx="2776429" cy="665424"/>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859"/>
    <w:rsid w:val="00437DA0"/>
    <w:rsid w:val="005523DB"/>
    <w:rsid w:val="00695859"/>
    <w:rsid w:val="00C70331"/>
    <w:rsid w:val="00FB774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87C831-3D57-444C-B81E-AA53459F2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B7741"/>
    <w:pPr>
      <w:spacing w:after="0" w:line="240" w:lineRule="auto"/>
    </w:pPr>
    <w:rPr>
      <w:rFonts w:ascii="Times New Roman" w:eastAsia="Times New Roman" w:hAnsi="Times New Roman" w:cs="Times New Roman"/>
      <w:sz w:val="24"/>
      <w:szCs w:val="24"/>
      <w:lang w:val="es-ES"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B7741"/>
    <w:pPr>
      <w:tabs>
        <w:tab w:val="center" w:pos="4252"/>
        <w:tab w:val="right" w:pos="8504"/>
      </w:tabs>
    </w:pPr>
  </w:style>
  <w:style w:type="character" w:customStyle="1" w:styleId="EncabezadoCar">
    <w:name w:val="Encabezado Car"/>
    <w:basedOn w:val="Fuentedeprrafopredeter"/>
    <w:link w:val="Encabezado"/>
    <w:uiPriority w:val="99"/>
    <w:rsid w:val="00FB7741"/>
    <w:rPr>
      <w:rFonts w:ascii="Times New Roman" w:eastAsia="Times New Roman" w:hAnsi="Times New Roman" w:cs="Times New Roman"/>
      <w:sz w:val="24"/>
      <w:szCs w:val="24"/>
      <w:lang w:val="es-ES" w:eastAsia="es-AR"/>
    </w:rPr>
  </w:style>
  <w:style w:type="paragraph" w:styleId="Piedepgina">
    <w:name w:val="footer"/>
    <w:basedOn w:val="Normal"/>
    <w:link w:val="PiedepginaCar"/>
    <w:uiPriority w:val="99"/>
    <w:unhideWhenUsed/>
    <w:rsid w:val="00FB7741"/>
    <w:pPr>
      <w:tabs>
        <w:tab w:val="center" w:pos="4252"/>
        <w:tab w:val="right" w:pos="8504"/>
      </w:tabs>
    </w:pPr>
  </w:style>
  <w:style w:type="character" w:customStyle="1" w:styleId="PiedepginaCar">
    <w:name w:val="Pie de página Car"/>
    <w:basedOn w:val="Fuentedeprrafopredeter"/>
    <w:link w:val="Piedepgina"/>
    <w:uiPriority w:val="99"/>
    <w:rsid w:val="00FB7741"/>
    <w:rPr>
      <w:rFonts w:ascii="Times New Roman" w:eastAsia="Times New Roman" w:hAnsi="Times New Roman" w:cs="Times New Roman"/>
      <w:sz w:val="24"/>
      <w:szCs w:val="24"/>
      <w:lang w:val="es-ES" w:eastAsia="es-AR"/>
    </w:rPr>
  </w:style>
  <w:style w:type="paragraph" w:styleId="NormalWeb">
    <w:name w:val="Normal (Web)"/>
    <w:basedOn w:val="Normal"/>
    <w:uiPriority w:val="99"/>
    <w:unhideWhenUsed/>
    <w:rsid w:val="00FB7741"/>
    <w:pPr>
      <w:spacing w:before="100" w:beforeAutospacing="1" w:after="100" w:afterAutospacing="1"/>
    </w:pPr>
    <w:rPr>
      <w:lang w:val="es-AR"/>
    </w:rPr>
  </w:style>
  <w:style w:type="paragraph" w:styleId="Textodeglobo">
    <w:name w:val="Balloon Text"/>
    <w:basedOn w:val="Normal"/>
    <w:link w:val="TextodegloboCar"/>
    <w:uiPriority w:val="99"/>
    <w:semiHidden/>
    <w:unhideWhenUsed/>
    <w:rsid w:val="00FB774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7741"/>
    <w:rPr>
      <w:rFonts w:ascii="Segoe UI" w:eastAsia="Times New Roman" w:hAnsi="Segoe UI" w:cs="Segoe UI"/>
      <w:sz w:val="18"/>
      <w:szCs w:val="18"/>
      <w:lang w:val="es-ES"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0613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449</Words>
  <Characters>2472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2</cp:revision>
  <cp:lastPrinted>2025-05-20T14:05:00Z</cp:lastPrinted>
  <dcterms:created xsi:type="dcterms:W3CDTF">2025-05-20T13:54:00Z</dcterms:created>
  <dcterms:modified xsi:type="dcterms:W3CDTF">2025-05-20T14:06:00Z</dcterms:modified>
</cp:coreProperties>
</file>