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45F" w:rsidRPr="00136510" w:rsidRDefault="00E7345F" w:rsidP="00E7345F">
      <w:pPr>
        <w:spacing w:after="0" w:line="240" w:lineRule="auto"/>
        <w:jc w:val="center"/>
        <w:rPr>
          <w:rFonts w:ascii="Times New Roman" w:eastAsia="Aptos" w:hAnsi="Times New Roman" w:cs="Times New Roman"/>
          <w:b/>
          <w:kern w:val="2"/>
          <w:sz w:val="40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40"/>
          <w:szCs w:val="28"/>
          <w:lang w:val="es-ES"/>
          <w14:ligatures w14:val="standardContextual"/>
        </w:rPr>
        <w:t xml:space="preserve">ORDENANZA </w:t>
      </w:r>
      <w:r w:rsidR="00127AF8">
        <w:rPr>
          <w:rFonts w:ascii="Times New Roman" w:eastAsia="Aptos" w:hAnsi="Times New Roman" w:cs="Times New Roman"/>
          <w:b/>
          <w:kern w:val="2"/>
          <w:sz w:val="40"/>
          <w:szCs w:val="28"/>
          <w:lang w:val="es-ES"/>
          <w14:ligatures w14:val="standardContextual"/>
        </w:rPr>
        <w:t>1521</w:t>
      </w:r>
      <w:r w:rsidRPr="00136510">
        <w:rPr>
          <w:rFonts w:ascii="Times New Roman" w:eastAsia="Aptos" w:hAnsi="Times New Roman" w:cs="Times New Roman"/>
          <w:b/>
          <w:kern w:val="2"/>
          <w:sz w:val="40"/>
          <w:szCs w:val="28"/>
          <w:lang w:val="es-ES"/>
          <w14:ligatures w14:val="standardContextual"/>
        </w:rPr>
        <w:t>/25</w:t>
      </w:r>
    </w:p>
    <w:p w:rsidR="00E7345F" w:rsidRPr="00136510" w:rsidRDefault="00E7345F" w:rsidP="00E7345F">
      <w:pPr>
        <w:spacing w:after="0" w:line="240" w:lineRule="auto"/>
        <w:jc w:val="center"/>
        <w:rPr>
          <w:rFonts w:ascii="Times New Roman" w:eastAsia="Aptos" w:hAnsi="Times New Roman" w:cs="Times New Roman"/>
          <w:kern w:val="2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Cs w:val="28"/>
          <w:lang w:val="es-ES"/>
          <w14:ligatures w14:val="standardContextual"/>
        </w:rPr>
        <w:t>“Provisión de Gas a Escuela D. F. Sarmiento”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  <w:t>VISTO: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       La necesidad de Ejecución de Obra de provisión de gas natural sobre calle Urquiza; </w:t>
      </w: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  <w:t>Y CONSIDERANDO: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ab/>
        <w:t>Que se trata de una arteria importante para esta Localidad, dado, entre otros por la existencia del Establecimiento Educativo “Domingo Faustino Sarmiento”.</w:t>
      </w: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Que el marco normativo y parámetros para la ejecución se encuentra especificado en la Ordenanza N° 390/06 y sus modificatorias, Resolución ENARGAS N° I/910 y la Ordenanza 1017/17.</w:t>
      </w: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Que en esta ocasión se dará inicio a la obra en Urquiza hasta dicho Establecimiento Educativo.</w:t>
      </w:r>
      <w:bookmarkStart w:id="0" w:name="_gjdgxs"/>
      <w:bookmarkEnd w:id="0"/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Que teniendo en cuenta los montos sujetos a prorrateo entre los beneficiarios de la obra, deben necesariamente ser ajustados en virtud de la ostensible variación de los precios del material y mano de obra observados desde la determinación de la contribución a cargo de los obligados al pago, dispuesto por el coeficiente establecido por Ordenanza Nº 1017/17 a la fecha.</w:t>
      </w:r>
    </w:p>
    <w:p w:rsidR="00E7345F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Que es necesario el dictado del instrumento legal pertinente a los fines de definir un nuevo porcentaje de ajuste de los valores originales, en función de datos reales del costo de la obra, cuyo coeficiente alcanza a la fecha el valor de 500.</w:t>
      </w:r>
    </w:p>
    <w:p w:rsidR="00E7345F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Que a los fines de mantener incólume el valor de la obra en relación a los metros cuadrados del inmueble del vecino frentista atento la inflación registrada en los últimos periodos, se debe fijar ese valor real en pesos a una variable de actualización. A tal fin, el valor de unidad de vivienda emitido por el Banco </w:t>
      </w:r>
    </w:p>
    <w:p w:rsidR="00E7345F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Central de la República Argentina es el que mejor se adecua a la ejecución de la obra proyectada.</w:t>
      </w:r>
    </w:p>
    <w:p w:rsidR="00E7345F" w:rsidRPr="00136510" w:rsidRDefault="00E7345F" w:rsidP="00E7345F">
      <w:pPr>
        <w:spacing w:line="360" w:lineRule="auto"/>
        <w:ind w:firstLine="708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Que este procedimiento facilitará la financiación en cuotas del valor de la contribución, ya que las mismas no quedarán desactualizadas como consecuencia del proceso inflacionario.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Por ello y en uso de las atribuciones que le son propias: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Pr="00136510" w:rsidRDefault="00E7345F" w:rsidP="00E7345F">
      <w:pPr>
        <w:spacing w:line="360" w:lineRule="auto"/>
        <w:jc w:val="center"/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  <w:t>EL CONCEJO DELIBERANTE DE LA MUNICIPALIDAD DE TANTI SANCIONA CON FUERZA DE</w:t>
      </w:r>
    </w:p>
    <w:p w:rsidR="00E7345F" w:rsidRDefault="00E7345F" w:rsidP="00E7345F">
      <w:pPr>
        <w:spacing w:line="360" w:lineRule="auto"/>
        <w:jc w:val="center"/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  <w:t>ORDENANZA</w:t>
      </w:r>
    </w:p>
    <w:p w:rsidR="00C709E0" w:rsidRDefault="00C709E0" w:rsidP="00E7345F">
      <w:pPr>
        <w:spacing w:line="360" w:lineRule="auto"/>
        <w:jc w:val="center"/>
        <w:rPr>
          <w:rFonts w:ascii="Times New Roman" w:eastAsia="Aptos" w:hAnsi="Times New Roman" w:cs="Times New Roman"/>
          <w:b/>
          <w:kern w:val="2"/>
          <w:sz w:val="32"/>
          <w:szCs w:val="28"/>
          <w:lang w:val="es-ES"/>
          <w14:ligatures w14:val="standardContextual"/>
        </w:rPr>
      </w:pP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1°:</w:t>
      </w:r>
      <w:r w:rsidR="00376EF6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AUTORÍZA</w:t>
      </w: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SE el inicio y ejecución de la OBRA DE GAS NATURAL SOBRE CALLE URQUIZA </w:t>
      </w:r>
      <w:r w:rsidRPr="00136510">
        <w:rPr>
          <w:rFonts w:ascii="Times New Roman" w:eastAsia="Aptos" w:hAnsi="Times New Roman" w:cs="Times New Roman"/>
          <w:bCs/>
          <w:kern w:val="2"/>
          <w:sz w:val="28"/>
          <w:szCs w:val="28"/>
          <w:lang w:val="es-ES"/>
          <w14:ligatures w14:val="standardContextual"/>
        </w:rPr>
        <w:t xml:space="preserve">entre Puente Jorge </w:t>
      </w:r>
      <w:proofErr w:type="spellStart"/>
      <w:r w:rsidRPr="00136510">
        <w:rPr>
          <w:rFonts w:ascii="Times New Roman" w:eastAsia="Aptos" w:hAnsi="Times New Roman" w:cs="Times New Roman"/>
          <w:bCs/>
          <w:kern w:val="2"/>
          <w:sz w:val="28"/>
          <w:szCs w:val="28"/>
          <w:lang w:val="es-ES"/>
          <w14:ligatures w14:val="standardContextual"/>
        </w:rPr>
        <w:t>Digón</w:t>
      </w:r>
      <w:proofErr w:type="spellEnd"/>
      <w:r w:rsidRPr="00136510">
        <w:rPr>
          <w:rFonts w:ascii="Times New Roman" w:eastAsia="Aptos" w:hAnsi="Times New Roman" w:cs="Times New Roman"/>
          <w:bCs/>
          <w:kern w:val="2"/>
          <w:sz w:val="28"/>
          <w:szCs w:val="28"/>
          <w:lang w:val="es-ES"/>
          <w14:ligatures w14:val="standardContextual"/>
        </w:rPr>
        <w:t xml:space="preserve"> hasta coordenada -31.352168, -64.589103 Proyecto DC1061/015 que obra como Anexo I de la presente Ordenanza, y</w:t>
      </w: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DECLÁRANSE de Interés Público y Pago Obligatorio. </w:t>
      </w:r>
    </w:p>
    <w:p w:rsidR="00376EF6" w:rsidRPr="00376EF6" w:rsidRDefault="00376EF6" w:rsidP="00C709E0">
      <w:pPr>
        <w:pStyle w:val="NormalWeb"/>
        <w:shd w:val="clear" w:color="auto" w:fill="FFFFFF"/>
        <w:spacing w:before="0" w:beforeAutospacing="0"/>
        <w:jc w:val="both"/>
        <w:rPr>
          <w:rFonts w:eastAsia="Aptos"/>
          <w:b/>
          <w:kern w:val="2"/>
          <w:sz w:val="28"/>
          <w:szCs w:val="28"/>
          <w:lang w:val="es-ES"/>
          <w14:ligatures w14:val="standardContextual"/>
        </w:rPr>
      </w:pPr>
      <w:r w:rsidRPr="00376EF6">
        <w:rPr>
          <w:rFonts w:eastAsia="Aptos"/>
          <w:b/>
          <w:kern w:val="2"/>
          <w:sz w:val="28"/>
          <w:szCs w:val="28"/>
          <w:lang w:val="es-ES"/>
          <w14:ligatures w14:val="standardContextual"/>
        </w:rPr>
        <w:t>Artículo 2º</w:t>
      </w:r>
      <w:r>
        <w:rPr>
          <w:rFonts w:eastAsia="Aptos"/>
          <w:b/>
          <w:kern w:val="2"/>
          <w:sz w:val="28"/>
          <w:szCs w:val="28"/>
          <w:lang w:val="es-ES"/>
          <w14:ligatures w14:val="standardContextual"/>
        </w:rPr>
        <w:t xml:space="preserve">: </w:t>
      </w:r>
      <w:r w:rsidRPr="00376EF6">
        <w:rPr>
          <w:b/>
          <w:color w:val="212529"/>
          <w:sz w:val="28"/>
          <w:szCs w:val="27"/>
        </w:rPr>
        <w:t>CRONOGRAMA Y EJECUCIÓN</w:t>
      </w:r>
      <w:r w:rsidRPr="00376EF6">
        <w:rPr>
          <w:color w:val="212529"/>
          <w:sz w:val="28"/>
          <w:szCs w:val="27"/>
        </w:rPr>
        <w:t>: 3 mese</w:t>
      </w:r>
      <w:r>
        <w:rPr>
          <w:color w:val="212529"/>
          <w:sz w:val="28"/>
          <w:szCs w:val="27"/>
        </w:rPr>
        <w:t xml:space="preserve">s a partir de la autorización </w:t>
      </w:r>
      <w:r w:rsidRPr="00376EF6">
        <w:rPr>
          <w:color w:val="212529"/>
          <w:sz w:val="28"/>
          <w:szCs w:val="27"/>
        </w:rPr>
        <w:t>de</w:t>
      </w:r>
      <w:r>
        <w:rPr>
          <w:color w:val="212529"/>
          <w:sz w:val="28"/>
          <w:szCs w:val="27"/>
        </w:rPr>
        <w:t xml:space="preserve"> </w:t>
      </w:r>
      <w:r w:rsidRPr="00376EF6">
        <w:rPr>
          <w:color w:val="212529"/>
          <w:sz w:val="28"/>
          <w:szCs w:val="27"/>
        </w:rPr>
        <w:t>inicio de obra de Distribuidora de Gas del Centro.</w:t>
      </w:r>
      <w:r w:rsidRPr="00376EF6">
        <w:rPr>
          <w:color w:val="212529"/>
          <w:sz w:val="28"/>
          <w:szCs w:val="27"/>
        </w:rPr>
        <w:br/>
        <w:t>Una vez habilitadas las obras serán operadas y mantenidas por</w:t>
      </w:r>
      <w:r w:rsidRPr="00376EF6">
        <w:rPr>
          <w:color w:val="212529"/>
          <w:sz w:val="28"/>
          <w:szCs w:val="27"/>
        </w:rPr>
        <w:br/>
        <w:t>Distribuidora de Gas del Centro S.A conforme Acuerdo Marco.</w:t>
      </w:r>
    </w:p>
    <w:p w:rsidR="00376EF6" w:rsidRPr="00C709E0" w:rsidRDefault="00376EF6" w:rsidP="00C709E0">
      <w:pPr>
        <w:pStyle w:val="NormalWeb"/>
        <w:shd w:val="clear" w:color="auto" w:fill="FFFFFF"/>
        <w:spacing w:before="0" w:beforeAutospacing="0"/>
        <w:jc w:val="both"/>
        <w:rPr>
          <w:rFonts w:eastAsia="Aptos"/>
          <w:kern w:val="2"/>
          <w:sz w:val="28"/>
          <w:szCs w:val="28"/>
          <w:lang w:val="es-ES"/>
          <w14:ligatures w14:val="standardContextual"/>
        </w:rPr>
      </w:pPr>
      <w:r w:rsidRPr="00C709E0">
        <w:rPr>
          <w:rFonts w:eastAsia="Aptos"/>
          <w:b/>
          <w:kern w:val="2"/>
          <w:sz w:val="28"/>
          <w:szCs w:val="28"/>
          <w:lang w:val="es-ES"/>
          <w14:ligatures w14:val="standardContextual"/>
        </w:rPr>
        <w:t>Artículo 3º</w:t>
      </w:r>
      <w:r w:rsidR="00C709E0" w:rsidRPr="00C709E0">
        <w:rPr>
          <w:rFonts w:eastAsia="Aptos"/>
          <w:b/>
          <w:kern w:val="2"/>
          <w:sz w:val="28"/>
          <w:szCs w:val="28"/>
          <w:lang w:val="es-ES"/>
          <w14:ligatures w14:val="standardContextual"/>
        </w:rPr>
        <w:t>:</w:t>
      </w:r>
      <w:r w:rsidR="00C709E0" w:rsidRPr="00C709E0">
        <w:rPr>
          <w:rFonts w:eastAsia="Aptos"/>
          <w:kern w:val="2"/>
          <w:sz w:val="28"/>
          <w:szCs w:val="28"/>
          <w:lang w:val="es-ES"/>
          <w14:ligatures w14:val="standardContextual"/>
        </w:rPr>
        <w:t xml:space="preserve"> </w:t>
      </w:r>
      <w:r w:rsidR="00C709E0" w:rsidRPr="00C709E0">
        <w:rPr>
          <w:b/>
          <w:color w:val="212529"/>
          <w:sz w:val="28"/>
          <w:szCs w:val="28"/>
        </w:rPr>
        <w:t>MONTO DE LA OBRA</w:t>
      </w:r>
      <w:r w:rsidR="00C709E0" w:rsidRPr="00C709E0">
        <w:rPr>
          <w:color w:val="212529"/>
          <w:sz w:val="28"/>
          <w:szCs w:val="28"/>
        </w:rPr>
        <w:t>: Redes de distribución PESOS CUAR</w:t>
      </w:r>
      <w:r w:rsidR="00C709E0" w:rsidRPr="00C709E0">
        <w:rPr>
          <w:color w:val="212529"/>
          <w:sz w:val="28"/>
          <w:szCs w:val="28"/>
        </w:rPr>
        <w:t>ENTA Y UN</w:t>
      </w:r>
      <w:r w:rsidR="00C709E0" w:rsidRPr="00C709E0">
        <w:rPr>
          <w:color w:val="212529"/>
          <w:sz w:val="28"/>
          <w:szCs w:val="28"/>
        </w:rPr>
        <w:t xml:space="preserve"> MILLONES QUINIENTOS DOCE MIL NOVECIENTOS CINCUENTA Y DOS CON 25/100 ($ 41.512.952,25); (IVA INCLUIDO).</w:t>
      </w:r>
    </w:p>
    <w:p w:rsidR="00E7345F" w:rsidRDefault="00376EF6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</w:pPr>
      <w:r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4</w:t>
      </w:r>
      <w:r w:rsidR="00E7345F" w:rsidRPr="0013651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º: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</w:t>
      </w:r>
      <w:r>
        <w:rPr>
          <w:rFonts w:ascii="Times New Roman" w:eastAsia="Aptos" w:hAnsi="Times New Roman" w:cs="Times New Roman"/>
          <w:bCs/>
          <w:kern w:val="2"/>
          <w:sz w:val="28"/>
          <w:szCs w:val="28"/>
          <w:lang w:val="es-ES"/>
          <w14:ligatures w14:val="standardContextual"/>
        </w:rPr>
        <w:t>FÍJAN</w:t>
      </w:r>
      <w:r w:rsidR="00E7345F" w:rsidRPr="00136510">
        <w:rPr>
          <w:rFonts w:ascii="Times New Roman" w:eastAsia="Aptos" w:hAnsi="Times New Roman" w:cs="Times New Roman"/>
          <w:bCs/>
          <w:kern w:val="2"/>
          <w:sz w:val="28"/>
          <w:szCs w:val="28"/>
          <w:lang w:val="es-ES"/>
          <w14:ligatures w14:val="standardContextual"/>
        </w:rPr>
        <w:t>SE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  <w:t>las siguientes contribuciones por parcelas y/o unidad funcional en la siguiente escala, en función de la superficie total de la unidad de terreno y a la cantidad de conexiones:</w:t>
      </w:r>
    </w:p>
    <w:tbl>
      <w:tblPr>
        <w:tblW w:w="8494" w:type="dxa"/>
        <w:tblInd w:w="-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1"/>
        <w:gridCol w:w="1671"/>
        <w:gridCol w:w="1949"/>
        <w:gridCol w:w="1618"/>
        <w:gridCol w:w="1305"/>
      </w:tblGrid>
      <w:tr w:rsidR="00E7345F" w:rsidRPr="00136510" w:rsidTr="00C709E0">
        <w:trPr>
          <w:trHeight w:val="270"/>
        </w:trPr>
        <w:tc>
          <w:tcPr>
            <w:tcW w:w="36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SUPERFICIE (m2)</w:t>
            </w:r>
          </w:p>
        </w:tc>
        <w:tc>
          <w:tcPr>
            <w:tcW w:w="19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MONTO A PAGAR</w:t>
            </w:r>
          </w:p>
        </w:tc>
        <w:tc>
          <w:tcPr>
            <w:tcW w:w="16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:highlight w:val="magenta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DERECHOS DE CONEXIÓN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UVIS</w:t>
            </w:r>
          </w:p>
        </w:tc>
      </w:tr>
      <w:tr w:rsidR="00E7345F" w:rsidRPr="00136510" w:rsidTr="00C709E0">
        <w:trPr>
          <w:trHeight w:val="270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DESDE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HASTA</w:t>
            </w:r>
          </w:p>
        </w:tc>
        <w:tc>
          <w:tcPr>
            <w:tcW w:w="19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7345F" w:rsidRPr="00136510" w:rsidRDefault="00E7345F" w:rsidP="00F95427">
            <w:pPr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</w:p>
        </w:tc>
        <w:tc>
          <w:tcPr>
            <w:tcW w:w="16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7345F" w:rsidRPr="00136510" w:rsidRDefault="00E7345F" w:rsidP="00F95427">
            <w:pPr>
              <w:rPr>
                <w:rFonts w:ascii="Times New Roman" w:eastAsia="Aptos" w:hAnsi="Times New Roman" w:cs="Times New Roman"/>
                <w:kern w:val="2"/>
                <w:sz w:val="28"/>
                <w:szCs w:val="28"/>
                <w:highlight w:val="magenta"/>
                <w14:ligatures w14:val="standardContextual"/>
              </w:rPr>
            </w:pP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E7345F" w:rsidRPr="00136510" w:rsidRDefault="00E7345F" w:rsidP="00F95427">
            <w:pPr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23/12/24</w:t>
            </w:r>
          </w:p>
          <w:p w:rsidR="00E7345F" w:rsidRPr="00136510" w:rsidRDefault="00E7345F" w:rsidP="00F95427">
            <w:pPr>
              <w:rPr>
                <w:rFonts w:ascii="Times New Roman" w:eastAsia="Aptos" w:hAnsi="Times New Roman" w:cs="Times New Roman"/>
                <w:kern w:val="2"/>
                <w:sz w:val="28"/>
                <w:szCs w:val="28"/>
                <w:highlight w:val="magenta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</w:t>
            </w:r>
            <w:r w:rsidRPr="00136510">
              <w:rPr>
                <w:rFonts w:ascii="Times New Roman" w:eastAsia="Aptos" w:hAnsi="Times New Roman" w:cs="Times New Roman"/>
                <w:color w:val="666666"/>
                <w:kern w:val="2"/>
                <w:sz w:val="28"/>
                <w:szCs w:val="28"/>
                <w:shd w:val="clear" w:color="auto" w:fill="F5F5F5"/>
                <w14:ligatures w14:val="standardContextual"/>
              </w:rPr>
              <w:t xml:space="preserve"> </w:t>
            </w: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963,32</w:t>
            </w:r>
          </w:p>
        </w:tc>
      </w:tr>
      <w:tr w:rsidR="00E7345F" w:rsidRPr="00136510" w:rsidTr="00C709E0">
        <w:trPr>
          <w:trHeight w:val="270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lastRenderedPageBreak/>
              <w:t>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400,00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$ 1.450.000</w:t>
            </w:r>
          </w:p>
        </w:tc>
        <w:tc>
          <w:tcPr>
            <w:tcW w:w="1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</w:t>
            </w:r>
          </w:p>
        </w:tc>
        <w:tc>
          <w:tcPr>
            <w:tcW w:w="1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1.505,21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400,01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600,00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$ 1.650.000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1.712,82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600,01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800,00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$ 1.800.000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1.868,53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800,01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1000,00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$ 1.950.000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2.024,24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1000,01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2000,00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$ 2.200.000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2.283,76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2000,01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5000,00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$ 2.400.000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2.491,38</w:t>
            </w:r>
          </w:p>
        </w:tc>
      </w:tr>
      <w:tr w:rsidR="00E7345F" w:rsidRPr="00136510" w:rsidTr="00C709E0">
        <w:trPr>
          <w:trHeight w:val="255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5000,01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10000,00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$ 2.600.000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2.698,99</w:t>
            </w:r>
          </w:p>
        </w:tc>
      </w:tr>
      <w:tr w:rsidR="00E7345F" w:rsidRPr="00136510" w:rsidTr="00C709E0">
        <w:trPr>
          <w:trHeight w:val="270"/>
        </w:trPr>
        <w:tc>
          <w:tcPr>
            <w:tcW w:w="362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más de 10000,01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$ 2.800.000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7345F" w:rsidRPr="00136510" w:rsidRDefault="00E7345F" w:rsidP="00F95427">
            <w:pPr>
              <w:jc w:val="center"/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</w:pPr>
            <w:r w:rsidRPr="00136510">
              <w:rPr>
                <w:rFonts w:ascii="Times New Roman" w:eastAsia="Aptos" w:hAnsi="Times New Roman" w:cs="Times New Roman"/>
                <w:kern w:val="2"/>
                <w:sz w:val="28"/>
                <w:szCs w:val="28"/>
                <w14:ligatures w14:val="standardContextual"/>
              </w:rPr>
              <w:t>2.906,61</w:t>
            </w:r>
          </w:p>
        </w:tc>
      </w:tr>
    </w:tbl>
    <w:p w:rsidR="00E7345F" w:rsidRPr="00136510" w:rsidRDefault="00E7345F" w:rsidP="00E7345F">
      <w:pPr>
        <w:jc w:val="both"/>
        <w:rPr>
          <w:rFonts w:ascii="Times New Roman" w:eastAsia="Aptos" w:hAnsi="Times New Roman" w:cs="Times New Roman"/>
          <w:kern w:val="2"/>
          <w:sz w:val="28"/>
          <w:szCs w:val="28"/>
          <w14:ligatures w14:val="standardContextual"/>
        </w:rPr>
      </w:pP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</w:p>
    <w:p w:rsidR="00E7345F" w:rsidRPr="00136510" w:rsidRDefault="00376EF6" w:rsidP="00C709E0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5</w:t>
      </w:r>
      <w:r w:rsidR="00E7345F" w:rsidRPr="0013651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°:</w:t>
      </w:r>
      <w:r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AUTORÍZA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SE el cruce de la obra sobre el lateral derecho del Puente “Jorge </w:t>
      </w:r>
      <w:proofErr w:type="spellStart"/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Digón</w:t>
      </w:r>
      <w:proofErr w:type="spellEnd"/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” sobre el Arroyo Tanti (área Protegida según Ord. 1466/24) a los fines de evitar roturas sobre el lecho de la Zona Protegida.</w:t>
      </w:r>
    </w:p>
    <w:p w:rsidR="00E7345F" w:rsidRPr="00136510" w:rsidRDefault="00C709E0" w:rsidP="00C709E0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C709E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6</w:t>
      </w:r>
      <w:r w:rsidR="00E7345F" w:rsidRPr="00C709E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º: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CRÉASE el Registro de Oposición a la obra, dispuesta en el Artículo 1º de la presente Ordenanza. El mismo quedará abierto en la Sede Municipal por el término de treinta (30) días, a partir de la publicación de la presente Ordenanza. Sólo se encontrarán habilitados a formular oposición los directamente obligados a abonar las contribuciones por mejoras mencionadas en el Artículo 1º.</w:t>
      </w:r>
    </w:p>
    <w:p w:rsidR="00E7345F" w:rsidRPr="00136510" w:rsidRDefault="00C709E0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7</w:t>
      </w:r>
      <w:r w:rsidR="00E7345F" w:rsidRPr="00C709E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°:</w:t>
      </w:r>
      <w:r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MODIFÍCA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SE el Artículo 12 de la Ordenanza 390/2006, actualizada mediante Ord. 927/16, el que quedará redactado de la siguiente manera: </w:t>
      </w:r>
      <w:r w:rsidR="00E7345F"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“Artículo 12”: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</w:t>
      </w:r>
      <w:r w:rsidR="00E7345F"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1) Los contribuyentes podrán optar por las siguientes formas de pago: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a)  DE CONTADO con un TREINTA POR CIENTO (30%) de descuento: durante los treinta (30) días corridos de iniciada la obra, y previamente notificada por parte del ejecutivo municipal, el contribuyente gozará de un descuento del treinta por ciento (30%) sobre el monto del porcentual que decidiere abonar; pudiendo optar por un plan de financiación sobre el saldo, si los hubiere, en las condiciones establecidas en los incisos siguientes: 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b) Hasta TRES (3) cuotas mensuales, iguales y consecutivas con un CATORCE POR CIENTO (14%) de descuento. Adhesión hasta 30 días de notificada la obra. 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lastRenderedPageBreak/>
        <w:t xml:space="preserve">c) Hasta SEIS (6) cuotas mensuales, iguales y consecutivas con un OCHO POR CIENTO (8%) de descuento. Adhesión hasta 30 días de notificada la obra. 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d) Hasta DIEZ (10) cuotas mensuales, iguales y consecutivas sin descuento. Adhesión hasta 30 días de notificada la obra. 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e) FINANCIADO: 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En DOCE (12), QUINCE (15), DIECIOCHO (18), VEINTICUATRO (24) o TREINTA (30) cuotas mensuales, iguales y consecutivas. Adhesión hasta 30 días de notificada la obra.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En caso de no efectuar expresamente opción de forma de pago, será fijado automáticamente en QUINCE (15) cuotas mensuales, iguales y consecutivas.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 2) Los contribuyentes que acrediten su condición de jubilado y/o pensionado, cuya percepción, individualmente, o sumada a la de su cónyuge o conviviente, no supere en una (1) vez la mínima Nacional establecida por la ANSES, gozarán de un régimen diferencial de pago, conforme a las siguientes opciones: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a) DE CONTADO con un TREINTA Y CINCO POR CIENTO (35%) de descuento; durante los 30 días corridos de finalizada la obra, el contribuyente gozará de un descuento del treinta y cinco por ciento (35%) sobre el monto del porcentual que decidiere abonar; pudiendo optar con plan de financiación sobre el saldo, si los hubiere, en las condiciones establecidas en los incisos siguientes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b) Hasta TRES (3) cuotas iguales, mensuales y consecutivas, con un DIECISEIS POR CIENTO (16%) de descuento. Adhesión hasta 30 días de notificada la obra.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c) Hasta SEIS (6) cuotas iguales, mensuales y consecutivas con un DIEZ POR CIENTO (10%) de descuento. Adhesión hasta 30 días de notificada la obra.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d) Hasta DIEZ (10) cuotas iguales, mensuales y consecutivas con un DOS POR CIENTO (2%) de descuento. Adhesión hasta 30 días de notificada la obra.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e) FINANCIADO: 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lastRenderedPageBreak/>
        <w:t>En DOCE (12), QUINCE (15), DIECIOCHO (18), o VEINTICUATRO (24) o TREINTA (30) cuotas mensuales, iguales y consecutivas. Adhesión hasta 30 días de notificada la obra.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En caso de no efectuar expresamente opción de forma de pago, será fijado automáticamente en DIECIOCHO (18) cuotas mensuales, iguales y consecutivas.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 xml:space="preserve">En todos los casos se deberá abonar la primera cuota en el momento de la adhesión al plan. </w:t>
      </w:r>
    </w:p>
    <w:p w:rsidR="00E7345F" w:rsidRPr="00136510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Los planes quedarán caducos con tres cuotas alternadas o consecutivas impagas, perdiendo los beneficios del mismo.</w:t>
      </w:r>
    </w:p>
    <w:p w:rsidR="00E7345F" w:rsidRDefault="00E7345F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 w:rsidRPr="00136510">
        <w:rPr>
          <w:rFonts w:ascii="Times New Roman" w:eastAsia="Aptos" w:hAnsi="Times New Roman" w:cs="Times New Roman"/>
          <w:i/>
          <w:kern w:val="2"/>
          <w:sz w:val="28"/>
          <w:szCs w:val="28"/>
          <w:lang w:val="es-ES"/>
          <w14:ligatures w14:val="standardContextual"/>
        </w:rPr>
        <w:t>f)  El Departamento Ejecutivo quedará facultado a ampliar los planes de financiación de las obras ejecutadas en casos especiales y cuando las condiciones económicas del vecino frentista así lo requieran, previo informe socio-económico favorable”</w:t>
      </w:r>
      <w:r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>.</w:t>
      </w:r>
    </w:p>
    <w:p w:rsidR="00E7345F" w:rsidRDefault="00C709E0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8</w:t>
      </w:r>
      <w:r w:rsidR="00E7345F" w:rsidRPr="00E7345F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º:</w:t>
      </w:r>
      <w:r w:rsidR="00E7345F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Deróguese la Ordenanza</w:t>
      </w:r>
      <w:r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Nº</w:t>
      </w:r>
      <w:r w:rsidR="00E7345F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1507/25.</w:t>
      </w:r>
    </w:p>
    <w:p w:rsidR="00E7345F" w:rsidRPr="00136510" w:rsidRDefault="00C709E0" w:rsidP="00E7345F">
      <w:pPr>
        <w:spacing w:line="360" w:lineRule="auto"/>
        <w:jc w:val="both"/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</w:pPr>
      <w:r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Artículo 9</w:t>
      </w:r>
      <w:r w:rsidR="00E7345F" w:rsidRPr="00136510">
        <w:rPr>
          <w:rFonts w:ascii="Times New Roman" w:eastAsia="Aptos" w:hAnsi="Times New Roman" w:cs="Times New Roman"/>
          <w:b/>
          <w:kern w:val="2"/>
          <w:sz w:val="28"/>
          <w:szCs w:val="28"/>
          <w:lang w:val="es-ES"/>
          <w14:ligatures w14:val="standardContextual"/>
        </w:rPr>
        <w:t>º:</w:t>
      </w:r>
      <w:r w:rsidR="00E7345F" w:rsidRPr="00136510">
        <w:rPr>
          <w:rFonts w:ascii="Times New Roman" w:eastAsia="Aptos" w:hAnsi="Times New Roman" w:cs="Times New Roman"/>
          <w:kern w:val="2"/>
          <w:sz w:val="28"/>
          <w:szCs w:val="28"/>
          <w:lang w:val="es-ES"/>
          <w14:ligatures w14:val="standardContextual"/>
        </w:rPr>
        <w:t xml:space="preserve"> COMUNÍQUESE, Promúlguese, Publíquese, dese al Registro Municipal y archívese. </w:t>
      </w:r>
    </w:p>
    <w:p w:rsidR="00E7345F" w:rsidRDefault="00E7345F" w:rsidP="00E7345F">
      <w:pPr>
        <w:rPr>
          <w:rFonts w:ascii="Times New Roman" w:hAnsi="Times New Roman" w:cs="Times New Roman"/>
          <w:sz w:val="28"/>
          <w:szCs w:val="28"/>
        </w:rPr>
      </w:pPr>
    </w:p>
    <w:p w:rsidR="00E7345F" w:rsidRPr="008E2965" w:rsidRDefault="00E7345F" w:rsidP="00E7345F">
      <w:pPr>
        <w:spacing w:after="0" w:line="240" w:lineRule="auto"/>
        <w:rPr>
          <w:rFonts w:ascii="Times New Roman" w:eastAsia="Times New Roman" w:hAnsi="Times New Roman" w:cs="Times New Roman"/>
          <w:szCs w:val="24"/>
          <w:lang w:val="es-ES" w:eastAsia="es-ES"/>
        </w:rPr>
      </w:pPr>
      <w:r w:rsidRPr="008E2965">
        <w:rPr>
          <w:rFonts w:ascii="Times New Roman" w:eastAsia="Times New Roman" w:hAnsi="Times New Roman" w:cs="Times New Roman"/>
          <w:szCs w:val="24"/>
          <w:lang w:val="es-ES" w:eastAsia="es-ES"/>
        </w:rPr>
        <w:t>Dada en sala de</w:t>
      </w:r>
    </w:p>
    <w:p w:rsidR="00E7345F" w:rsidRPr="008E2965" w:rsidRDefault="001E761F" w:rsidP="00E7345F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szCs w:val="24"/>
          <w:lang w:val="es-ES" w:eastAsia="es-ES"/>
        </w:rPr>
        <w:t>Sesiones el 19</w:t>
      </w:r>
      <w:r w:rsidR="00E7345F" w:rsidRPr="008E2965">
        <w:rPr>
          <w:rFonts w:ascii="Times New Roman" w:eastAsia="Times New Roman" w:hAnsi="Times New Roman" w:cs="Times New Roman"/>
          <w:szCs w:val="24"/>
          <w:lang w:val="es-ES" w:eastAsia="es-ES"/>
        </w:rPr>
        <w:t>/</w:t>
      </w:r>
      <w:r>
        <w:rPr>
          <w:rFonts w:ascii="Times New Roman" w:eastAsia="Times New Roman" w:hAnsi="Times New Roman" w:cs="Times New Roman"/>
          <w:szCs w:val="24"/>
          <w:lang w:val="es-ES" w:eastAsia="es-ES"/>
        </w:rPr>
        <w:t>5</w:t>
      </w:r>
      <w:r w:rsidR="00E7345F" w:rsidRPr="008E2965">
        <w:rPr>
          <w:rFonts w:ascii="Times New Roman" w:eastAsia="Times New Roman" w:hAnsi="Times New Roman" w:cs="Times New Roman"/>
          <w:szCs w:val="24"/>
          <w:lang w:val="es-ES" w:eastAsia="es-ES"/>
        </w:rPr>
        <w:t>/25</w:t>
      </w:r>
      <w:r w:rsidR="00E7345F">
        <w:rPr>
          <w:rFonts w:ascii="Times New Roman" w:eastAsia="Times New Roman" w:hAnsi="Times New Roman" w:cs="Times New Roman"/>
          <w:szCs w:val="24"/>
          <w:lang w:val="es-ES" w:eastAsia="es-ES"/>
        </w:rPr>
        <w:tab/>
      </w:r>
    </w:p>
    <w:p w:rsidR="00E7345F" w:rsidRPr="008E2965" w:rsidRDefault="001E761F" w:rsidP="00E7345F">
      <w:pPr>
        <w:spacing w:after="0" w:line="240" w:lineRule="auto"/>
        <w:rPr>
          <w:rFonts w:ascii="Times New Roman" w:eastAsia="Times New Roman" w:hAnsi="Times New Roman" w:cs="Times New Roman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szCs w:val="24"/>
          <w:lang w:val="es-ES" w:eastAsia="es-ES"/>
        </w:rPr>
        <w:t>S/ Acta Nº 12</w:t>
      </w:r>
    </w:p>
    <w:p w:rsidR="00437DA0" w:rsidRDefault="00437DA0"/>
    <w:p w:rsidR="00E7345F" w:rsidRDefault="00E7345F">
      <w:bookmarkStart w:id="1" w:name="_GoBack"/>
      <w:bookmarkEnd w:id="1"/>
    </w:p>
    <w:sectPr w:rsidR="00E7345F" w:rsidSect="00C709E0">
      <w:headerReference w:type="default" r:id="rId6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DC4" w:rsidRDefault="00B83DC4" w:rsidP="00E7345F">
      <w:pPr>
        <w:spacing w:after="0" w:line="240" w:lineRule="auto"/>
      </w:pPr>
      <w:r>
        <w:separator/>
      </w:r>
    </w:p>
  </w:endnote>
  <w:endnote w:type="continuationSeparator" w:id="0">
    <w:p w:rsidR="00B83DC4" w:rsidRDefault="00B83DC4" w:rsidP="00E73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DC4" w:rsidRDefault="00B83DC4" w:rsidP="00E7345F">
      <w:pPr>
        <w:spacing w:after="0" w:line="240" w:lineRule="auto"/>
      </w:pPr>
      <w:r>
        <w:separator/>
      </w:r>
    </w:p>
  </w:footnote>
  <w:footnote w:type="continuationSeparator" w:id="0">
    <w:p w:rsidR="00B83DC4" w:rsidRDefault="00B83DC4" w:rsidP="00E734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510" w:rsidRDefault="008A6B31">
    <w:pPr>
      <w:pStyle w:val="Encabezado"/>
    </w:pPr>
    <w:r>
      <w:rPr>
        <w:noProof/>
        <w:lang w:eastAsia="es-AR"/>
      </w:rPr>
      <w:drawing>
        <wp:inline distT="0" distB="0" distL="0" distR="0" wp14:anchorId="5DF22E6B" wp14:editId="2EEBAFCA">
          <wp:extent cx="2781300" cy="993464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3509" cy="10049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70E"/>
    <w:rsid w:val="00127AF8"/>
    <w:rsid w:val="00156037"/>
    <w:rsid w:val="001E761F"/>
    <w:rsid w:val="00376EF6"/>
    <w:rsid w:val="00437DA0"/>
    <w:rsid w:val="008A6B31"/>
    <w:rsid w:val="00B83DC4"/>
    <w:rsid w:val="00C3470E"/>
    <w:rsid w:val="00C709E0"/>
    <w:rsid w:val="00E7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3013A4-8CA5-4EA0-A54B-E654A6ECE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4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34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345F"/>
  </w:style>
  <w:style w:type="paragraph" w:styleId="Piedepgina">
    <w:name w:val="footer"/>
    <w:basedOn w:val="Normal"/>
    <w:link w:val="PiedepginaCar"/>
    <w:uiPriority w:val="99"/>
    <w:unhideWhenUsed/>
    <w:rsid w:val="00E734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345F"/>
  </w:style>
  <w:style w:type="table" w:customStyle="1" w:styleId="TableNormal">
    <w:name w:val="Table Normal"/>
    <w:uiPriority w:val="2"/>
    <w:semiHidden/>
    <w:unhideWhenUsed/>
    <w:qFormat/>
    <w:rsid w:val="00E734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7345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1"/>
      <w:szCs w:val="11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7345F"/>
    <w:rPr>
      <w:rFonts w:ascii="Arial MT" w:eastAsia="Arial MT" w:hAnsi="Arial MT" w:cs="Arial MT"/>
      <w:sz w:val="11"/>
      <w:szCs w:val="11"/>
      <w:lang w:val="es-ES"/>
    </w:rPr>
  </w:style>
  <w:style w:type="paragraph" w:styleId="Puesto">
    <w:name w:val="Title"/>
    <w:basedOn w:val="Normal"/>
    <w:link w:val="PuestoCar"/>
    <w:uiPriority w:val="1"/>
    <w:qFormat/>
    <w:rsid w:val="00E7345F"/>
    <w:pPr>
      <w:widowControl w:val="0"/>
      <w:autoSpaceDE w:val="0"/>
      <w:autoSpaceDN w:val="0"/>
      <w:spacing w:before="88" w:after="0" w:line="240" w:lineRule="auto"/>
      <w:ind w:left="79"/>
    </w:pPr>
    <w:rPr>
      <w:rFonts w:ascii="Arial" w:eastAsia="Arial" w:hAnsi="Arial" w:cs="Arial"/>
      <w:b/>
      <w:bCs/>
      <w:sz w:val="12"/>
      <w:szCs w:val="12"/>
      <w:lang w:val="es-ES"/>
    </w:rPr>
  </w:style>
  <w:style w:type="character" w:customStyle="1" w:styleId="PuestoCar">
    <w:name w:val="Puesto Car"/>
    <w:basedOn w:val="Fuentedeprrafopredeter"/>
    <w:link w:val="Puesto"/>
    <w:uiPriority w:val="1"/>
    <w:rsid w:val="00E7345F"/>
    <w:rPr>
      <w:rFonts w:ascii="Arial" w:eastAsia="Arial" w:hAnsi="Arial" w:cs="Arial"/>
      <w:b/>
      <w:bCs/>
      <w:sz w:val="12"/>
      <w:szCs w:val="12"/>
      <w:lang w:val="es-ES"/>
    </w:rPr>
  </w:style>
  <w:style w:type="paragraph" w:customStyle="1" w:styleId="TableParagraph">
    <w:name w:val="Table Paragraph"/>
    <w:basedOn w:val="Normal"/>
    <w:uiPriority w:val="1"/>
    <w:qFormat/>
    <w:rsid w:val="00E7345F"/>
    <w:pPr>
      <w:widowControl w:val="0"/>
      <w:autoSpaceDE w:val="0"/>
      <w:autoSpaceDN w:val="0"/>
      <w:spacing w:before="84" w:after="0" w:line="240" w:lineRule="auto"/>
      <w:ind w:left="30"/>
    </w:pPr>
    <w:rPr>
      <w:rFonts w:ascii="Calibri" w:eastAsia="Calibri" w:hAnsi="Calibri" w:cs="Calibri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3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345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76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1140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4</cp:revision>
  <cp:lastPrinted>2025-05-26T14:58:00Z</cp:lastPrinted>
  <dcterms:created xsi:type="dcterms:W3CDTF">2025-05-20T14:56:00Z</dcterms:created>
  <dcterms:modified xsi:type="dcterms:W3CDTF">2025-05-26T15:02:00Z</dcterms:modified>
</cp:coreProperties>
</file>