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427E" w:rsidRPr="00EA74AE" w:rsidRDefault="0007427E" w:rsidP="006B5F5D">
      <w:pPr>
        <w:jc w:val="center"/>
        <w:rPr>
          <w:b/>
          <w:sz w:val="40"/>
          <w:szCs w:val="28"/>
        </w:rPr>
      </w:pPr>
      <w:r w:rsidRPr="00EA74AE">
        <w:rPr>
          <w:b/>
          <w:sz w:val="40"/>
          <w:szCs w:val="28"/>
        </w:rPr>
        <w:t>ORDENANZA</w:t>
      </w:r>
      <w:r>
        <w:rPr>
          <w:b/>
          <w:sz w:val="40"/>
          <w:szCs w:val="28"/>
        </w:rPr>
        <w:t xml:space="preserve"> Nº 1524/25</w:t>
      </w:r>
    </w:p>
    <w:p w:rsidR="0007427E" w:rsidRDefault="0007427E" w:rsidP="0007427E">
      <w:pPr>
        <w:jc w:val="center"/>
        <w:rPr>
          <w:rFonts w:eastAsia="Verdana"/>
          <w:sz w:val="22"/>
          <w:szCs w:val="28"/>
        </w:rPr>
      </w:pPr>
      <w:r w:rsidRPr="00EA74AE">
        <w:rPr>
          <w:rFonts w:eastAsia="Verdana"/>
          <w:sz w:val="22"/>
          <w:szCs w:val="28"/>
        </w:rPr>
        <w:t>“Ficha Limpia. Adhesión a la ley Nº11.031 de la provincia de Córdoba”</w:t>
      </w:r>
    </w:p>
    <w:p w:rsidR="006B5F5D" w:rsidRPr="00EA74AE" w:rsidRDefault="006B5F5D" w:rsidP="0007427E">
      <w:pPr>
        <w:jc w:val="center"/>
        <w:rPr>
          <w:rFonts w:eastAsia="Verdana"/>
          <w:sz w:val="22"/>
          <w:szCs w:val="28"/>
        </w:rPr>
      </w:pPr>
      <w:bookmarkStart w:id="0" w:name="_GoBack"/>
      <w:bookmarkEnd w:id="0"/>
    </w:p>
    <w:p w:rsidR="0007427E" w:rsidRPr="00EA74AE" w:rsidRDefault="0007427E" w:rsidP="0007427E">
      <w:pPr>
        <w:jc w:val="center"/>
        <w:rPr>
          <w:rFonts w:eastAsia="Verdana"/>
          <w:b/>
          <w:sz w:val="28"/>
          <w:szCs w:val="28"/>
        </w:rPr>
      </w:pPr>
    </w:p>
    <w:p w:rsidR="0007427E" w:rsidRDefault="0007427E" w:rsidP="0007427E">
      <w:pPr>
        <w:rPr>
          <w:rFonts w:eastAsia="Verdana"/>
          <w:b/>
          <w:sz w:val="32"/>
          <w:szCs w:val="28"/>
        </w:rPr>
      </w:pPr>
      <w:r w:rsidRPr="00EA74AE">
        <w:rPr>
          <w:rFonts w:eastAsia="Verdana"/>
          <w:b/>
          <w:sz w:val="32"/>
          <w:szCs w:val="28"/>
        </w:rPr>
        <w:t xml:space="preserve">VISTO: </w:t>
      </w:r>
    </w:p>
    <w:p w:rsidR="0007427E" w:rsidRPr="00EA74AE" w:rsidRDefault="0007427E" w:rsidP="0007427E">
      <w:pPr>
        <w:rPr>
          <w:rFonts w:eastAsia="Verdana"/>
          <w:b/>
          <w:sz w:val="32"/>
          <w:szCs w:val="28"/>
        </w:rPr>
      </w:pPr>
    </w:p>
    <w:p w:rsidR="0007427E" w:rsidRDefault="0007427E" w:rsidP="0007427E">
      <w:pPr>
        <w:rPr>
          <w:rFonts w:eastAsia="Verdana"/>
          <w:sz w:val="28"/>
          <w:szCs w:val="28"/>
        </w:rPr>
      </w:pPr>
      <w:r w:rsidRPr="00EA74AE">
        <w:rPr>
          <w:rFonts w:eastAsia="Verdana"/>
          <w:b/>
          <w:sz w:val="28"/>
          <w:szCs w:val="28"/>
        </w:rPr>
        <w:t xml:space="preserve">           </w:t>
      </w:r>
      <w:r w:rsidRPr="00EA74AE">
        <w:rPr>
          <w:rFonts w:eastAsia="Verdana"/>
          <w:sz w:val="28"/>
          <w:szCs w:val="28"/>
        </w:rPr>
        <w:t>La ley provincial Nº 11.031 (Ficha Limpia), sancionada el 27 de diciembre de 2024 y publicada el día 07/01/2025 en el Boletín Oficial de la Provincia de Córdoba, por medio de la cual se incorporan los artículos 49 bis y 49 ter a la Ley Nº 9571- Código Electoral Provincial y el artículo 11 bis a la Ley Nº 9572- Régimen jurídico de los Partidos Políticos;</w:t>
      </w:r>
    </w:p>
    <w:p w:rsidR="0007427E" w:rsidRPr="00EA74AE" w:rsidRDefault="0007427E" w:rsidP="0007427E">
      <w:pPr>
        <w:rPr>
          <w:rFonts w:eastAsia="Verdana"/>
          <w:sz w:val="28"/>
          <w:szCs w:val="28"/>
        </w:rPr>
      </w:pPr>
    </w:p>
    <w:p w:rsidR="0007427E" w:rsidRPr="00EA74AE" w:rsidRDefault="0007427E" w:rsidP="0007427E">
      <w:pPr>
        <w:rPr>
          <w:rFonts w:eastAsia="Verdana"/>
          <w:b/>
          <w:sz w:val="28"/>
          <w:szCs w:val="28"/>
        </w:rPr>
      </w:pPr>
    </w:p>
    <w:p w:rsidR="0007427E" w:rsidRPr="00EA74AE" w:rsidRDefault="0007427E" w:rsidP="0007427E">
      <w:pPr>
        <w:rPr>
          <w:rFonts w:eastAsia="Verdana"/>
          <w:b/>
          <w:sz w:val="32"/>
          <w:szCs w:val="28"/>
        </w:rPr>
      </w:pPr>
      <w:r w:rsidRPr="00EA74AE">
        <w:rPr>
          <w:rFonts w:eastAsia="Verdana"/>
          <w:b/>
          <w:sz w:val="32"/>
          <w:szCs w:val="28"/>
        </w:rPr>
        <w:t xml:space="preserve">CONSIDERANDO: </w:t>
      </w:r>
    </w:p>
    <w:p w:rsidR="0007427E" w:rsidRPr="00EA74AE" w:rsidRDefault="0007427E" w:rsidP="0007427E">
      <w:pPr>
        <w:rPr>
          <w:rFonts w:eastAsia="Verdana"/>
          <w:b/>
          <w:sz w:val="28"/>
          <w:szCs w:val="28"/>
        </w:rPr>
      </w:pPr>
    </w:p>
    <w:p w:rsidR="0007427E" w:rsidRPr="00EA74AE" w:rsidRDefault="0007427E" w:rsidP="0007427E">
      <w:pPr>
        <w:rPr>
          <w:rFonts w:eastAsia="Verdana"/>
          <w:sz w:val="28"/>
          <w:szCs w:val="28"/>
        </w:rPr>
      </w:pPr>
      <w:r w:rsidRPr="00EA74AE">
        <w:rPr>
          <w:rFonts w:eastAsia="Verdana"/>
          <w:sz w:val="28"/>
          <w:szCs w:val="28"/>
        </w:rPr>
        <w:t xml:space="preserve">                              Que el objetivo de la Ley Nº11.031 representa un compromiso histórico hacia la transparencia y la justicia, impidiendo que sean candidatos y ocupen cargos aquellas personas condenadas en segunda instancia. </w:t>
      </w:r>
    </w:p>
    <w:p w:rsidR="0007427E" w:rsidRPr="00EA74AE" w:rsidRDefault="0007427E" w:rsidP="0007427E">
      <w:pPr>
        <w:rPr>
          <w:rFonts w:eastAsia="Verdana"/>
          <w:sz w:val="28"/>
          <w:szCs w:val="28"/>
        </w:rPr>
      </w:pPr>
    </w:p>
    <w:p w:rsidR="0007427E" w:rsidRPr="00EA74AE" w:rsidRDefault="0007427E" w:rsidP="0007427E">
      <w:pPr>
        <w:rPr>
          <w:rFonts w:eastAsia="Verdana"/>
          <w:sz w:val="28"/>
          <w:szCs w:val="28"/>
        </w:rPr>
      </w:pPr>
      <w:r w:rsidRPr="00EA74AE">
        <w:rPr>
          <w:rFonts w:eastAsia="Verdana"/>
          <w:sz w:val="28"/>
          <w:szCs w:val="28"/>
        </w:rPr>
        <w:t xml:space="preserve">                           Que esta normativa es un avance fundamental en la ética como requisito de quienes pretenden ejercer funciones públicas, garantizando legitimidad en las instituciones e integridad en los procesos electorales.</w:t>
      </w:r>
    </w:p>
    <w:p w:rsidR="0007427E" w:rsidRPr="00EA74AE" w:rsidRDefault="0007427E" w:rsidP="0007427E">
      <w:pPr>
        <w:rPr>
          <w:rFonts w:eastAsia="Verdana"/>
          <w:sz w:val="28"/>
          <w:szCs w:val="28"/>
        </w:rPr>
      </w:pPr>
    </w:p>
    <w:p w:rsidR="0007427E" w:rsidRPr="00EA74AE" w:rsidRDefault="0007427E" w:rsidP="0007427E">
      <w:pPr>
        <w:rPr>
          <w:rFonts w:eastAsia="Verdana"/>
          <w:sz w:val="28"/>
          <w:szCs w:val="28"/>
        </w:rPr>
      </w:pPr>
      <w:r w:rsidRPr="00EA74AE">
        <w:rPr>
          <w:rFonts w:eastAsia="Verdana"/>
          <w:sz w:val="28"/>
          <w:szCs w:val="28"/>
        </w:rPr>
        <w:t xml:space="preserve">                           Que la adhesión a la Ley Nº 11.031 genera confianza entre los ciudadanos de nuestra Ciudad de Tanti para las elecciones locales que en adelante se susciten. </w:t>
      </w:r>
    </w:p>
    <w:p w:rsidR="0007427E" w:rsidRPr="00EA74AE" w:rsidRDefault="0007427E" w:rsidP="0007427E">
      <w:pPr>
        <w:rPr>
          <w:rFonts w:eastAsia="Verdana"/>
          <w:sz w:val="28"/>
          <w:szCs w:val="28"/>
        </w:rPr>
      </w:pPr>
      <w:bookmarkStart w:id="1" w:name="_m70qgyu4c8eq" w:colFirst="0" w:colLast="0"/>
      <w:bookmarkEnd w:id="1"/>
    </w:p>
    <w:p w:rsidR="0007427E" w:rsidRPr="00EA74AE" w:rsidRDefault="0007427E" w:rsidP="0007427E">
      <w:pPr>
        <w:rPr>
          <w:rFonts w:eastAsia="Verdana"/>
          <w:sz w:val="28"/>
          <w:szCs w:val="28"/>
        </w:rPr>
      </w:pPr>
      <w:r w:rsidRPr="00EA74AE">
        <w:rPr>
          <w:rFonts w:eastAsia="Verdana"/>
          <w:sz w:val="28"/>
          <w:szCs w:val="28"/>
        </w:rPr>
        <w:t xml:space="preserve">                           Que la Ley Nº 11.031 fue promulgada por el Gobernador Martín </w:t>
      </w:r>
      <w:proofErr w:type="spellStart"/>
      <w:r w:rsidRPr="00EA74AE">
        <w:rPr>
          <w:rFonts w:eastAsia="Verdana"/>
          <w:sz w:val="28"/>
          <w:szCs w:val="28"/>
        </w:rPr>
        <w:t>Llaryora</w:t>
      </w:r>
      <w:proofErr w:type="spellEnd"/>
      <w:r w:rsidRPr="00EA74AE">
        <w:rPr>
          <w:rFonts w:eastAsia="Verdana"/>
          <w:sz w:val="28"/>
          <w:szCs w:val="28"/>
        </w:rPr>
        <w:t>, siendo la provincia de Córdoba pionera en materia de promoción de políticas de transparencia en este caso, elevando los estándares de idoneidad en la selección de postulantes a cargos públicos y electivos.</w:t>
      </w:r>
    </w:p>
    <w:p w:rsidR="0007427E" w:rsidRPr="00EA74AE" w:rsidRDefault="0007427E" w:rsidP="0007427E">
      <w:pPr>
        <w:rPr>
          <w:rFonts w:eastAsia="Verdana"/>
          <w:sz w:val="28"/>
          <w:szCs w:val="28"/>
        </w:rPr>
      </w:pPr>
    </w:p>
    <w:p w:rsidR="0007427E" w:rsidRPr="00EA74AE" w:rsidRDefault="0007427E" w:rsidP="0007427E">
      <w:pPr>
        <w:rPr>
          <w:rFonts w:eastAsia="Verdana"/>
          <w:sz w:val="28"/>
          <w:szCs w:val="28"/>
        </w:rPr>
      </w:pPr>
      <w:r w:rsidRPr="00EA74AE">
        <w:rPr>
          <w:rFonts w:eastAsia="Verdana"/>
          <w:sz w:val="28"/>
          <w:szCs w:val="28"/>
        </w:rPr>
        <w:t xml:space="preserve">                          Que es crítico ir en línea con la normativa vigente en la provincia, a los fines de facilitar su aplicación y determinar una uniformidad en la regulación de los procesos eleccionarios.</w:t>
      </w:r>
    </w:p>
    <w:p w:rsidR="0007427E" w:rsidRPr="00EA74AE" w:rsidRDefault="0007427E" w:rsidP="0007427E">
      <w:pPr>
        <w:rPr>
          <w:rFonts w:eastAsia="Verdana"/>
          <w:sz w:val="28"/>
          <w:szCs w:val="28"/>
        </w:rPr>
      </w:pPr>
      <w:r w:rsidRPr="00EA74AE">
        <w:rPr>
          <w:rFonts w:eastAsia="Arial"/>
          <w:color w:val="222222"/>
          <w:sz w:val="28"/>
          <w:szCs w:val="28"/>
          <w:highlight w:val="white"/>
        </w:rPr>
        <w:t xml:space="preserve">                               </w:t>
      </w:r>
    </w:p>
    <w:p w:rsidR="0007427E" w:rsidRPr="00EA74AE" w:rsidRDefault="0007427E" w:rsidP="0007427E">
      <w:pPr>
        <w:rPr>
          <w:rFonts w:eastAsia="Verdana"/>
          <w:sz w:val="28"/>
          <w:szCs w:val="28"/>
        </w:rPr>
      </w:pPr>
      <w:r w:rsidRPr="00EA74AE">
        <w:rPr>
          <w:rFonts w:eastAsia="Verdana"/>
          <w:sz w:val="28"/>
          <w:szCs w:val="28"/>
        </w:rPr>
        <w:t>Por todo ello y en uso de las atribuciones que le son propias;</w:t>
      </w:r>
    </w:p>
    <w:p w:rsidR="0007427E" w:rsidRPr="00EA74AE" w:rsidRDefault="0007427E" w:rsidP="0007427E">
      <w:pPr>
        <w:rPr>
          <w:b/>
          <w:sz w:val="28"/>
          <w:szCs w:val="28"/>
        </w:rPr>
      </w:pPr>
    </w:p>
    <w:p w:rsidR="0007427E" w:rsidRDefault="0007427E" w:rsidP="0007427E">
      <w:pPr>
        <w:jc w:val="center"/>
        <w:rPr>
          <w:b/>
          <w:sz w:val="32"/>
          <w:szCs w:val="28"/>
        </w:rPr>
      </w:pPr>
      <w:r w:rsidRPr="00EA74AE">
        <w:rPr>
          <w:b/>
          <w:sz w:val="32"/>
          <w:szCs w:val="28"/>
        </w:rPr>
        <w:t>EL CONCEJO DELIBERANTE DE</w:t>
      </w:r>
      <w:r>
        <w:rPr>
          <w:b/>
          <w:sz w:val="32"/>
          <w:szCs w:val="28"/>
        </w:rPr>
        <w:t xml:space="preserve"> </w:t>
      </w:r>
      <w:r w:rsidRPr="00EA74AE">
        <w:rPr>
          <w:b/>
          <w:sz w:val="32"/>
          <w:szCs w:val="28"/>
        </w:rPr>
        <w:t>LA MUNICIPALIDAD DE TANTI SANCIONA CON</w:t>
      </w:r>
      <w:r>
        <w:rPr>
          <w:b/>
          <w:sz w:val="32"/>
          <w:szCs w:val="28"/>
        </w:rPr>
        <w:t xml:space="preserve"> </w:t>
      </w:r>
      <w:r w:rsidRPr="00EA74AE">
        <w:rPr>
          <w:b/>
          <w:sz w:val="32"/>
          <w:szCs w:val="28"/>
        </w:rPr>
        <w:t xml:space="preserve">FUERZA DE </w:t>
      </w:r>
    </w:p>
    <w:p w:rsidR="0007427E" w:rsidRPr="00EA74AE" w:rsidRDefault="0007427E" w:rsidP="0007427E">
      <w:pPr>
        <w:jc w:val="center"/>
        <w:rPr>
          <w:b/>
          <w:sz w:val="32"/>
          <w:szCs w:val="28"/>
        </w:rPr>
      </w:pPr>
      <w:r w:rsidRPr="00EA74AE">
        <w:rPr>
          <w:b/>
          <w:sz w:val="32"/>
          <w:szCs w:val="28"/>
        </w:rPr>
        <w:t>ORDENANZA</w:t>
      </w:r>
    </w:p>
    <w:p w:rsidR="0007427E" w:rsidRPr="00EA74AE" w:rsidRDefault="0007427E" w:rsidP="0007427E">
      <w:pPr>
        <w:spacing w:line="360" w:lineRule="auto"/>
        <w:ind w:right="51"/>
        <w:jc w:val="both"/>
        <w:rPr>
          <w:rFonts w:eastAsia="Verdana"/>
          <w:b/>
          <w:sz w:val="28"/>
          <w:szCs w:val="28"/>
        </w:rPr>
      </w:pPr>
    </w:p>
    <w:p w:rsidR="0007427E" w:rsidRPr="00EA74AE" w:rsidRDefault="0007427E" w:rsidP="0007427E">
      <w:pPr>
        <w:spacing w:line="360" w:lineRule="auto"/>
        <w:jc w:val="both"/>
        <w:rPr>
          <w:rFonts w:eastAsia="Verdana"/>
          <w:sz w:val="28"/>
          <w:szCs w:val="28"/>
        </w:rPr>
      </w:pPr>
      <w:r w:rsidRPr="00EA74AE">
        <w:rPr>
          <w:rFonts w:eastAsia="Verdana"/>
          <w:b/>
          <w:sz w:val="28"/>
          <w:szCs w:val="28"/>
        </w:rPr>
        <w:t xml:space="preserve">Artículo 1°: ADHIÉRASE </w:t>
      </w:r>
      <w:r w:rsidRPr="00EA74AE">
        <w:rPr>
          <w:rFonts w:eastAsia="Verdana"/>
          <w:sz w:val="28"/>
          <w:szCs w:val="28"/>
        </w:rPr>
        <w:t>la Municipalidad de Tanti a la Ley Provincial Nº 11.031 (Ficha limpia).</w:t>
      </w:r>
    </w:p>
    <w:p w:rsidR="0007427E" w:rsidRPr="00EA74AE" w:rsidRDefault="0007427E" w:rsidP="0007427E">
      <w:pPr>
        <w:spacing w:line="360" w:lineRule="auto"/>
        <w:jc w:val="both"/>
        <w:rPr>
          <w:rFonts w:eastAsia="Verdana"/>
          <w:sz w:val="28"/>
          <w:szCs w:val="28"/>
        </w:rPr>
      </w:pPr>
      <w:r>
        <w:rPr>
          <w:rFonts w:eastAsia="Verdana"/>
          <w:b/>
          <w:sz w:val="28"/>
          <w:szCs w:val="28"/>
        </w:rPr>
        <w:t>Artículo 2</w:t>
      </w:r>
      <w:r w:rsidRPr="00EA74AE">
        <w:rPr>
          <w:rFonts w:eastAsia="Verdana"/>
          <w:b/>
          <w:sz w:val="28"/>
          <w:szCs w:val="28"/>
        </w:rPr>
        <w:t xml:space="preserve">°: DERÓGASE </w:t>
      </w:r>
      <w:r w:rsidRPr="00EA74AE">
        <w:rPr>
          <w:rFonts w:eastAsia="Verdana"/>
          <w:sz w:val="28"/>
          <w:szCs w:val="28"/>
        </w:rPr>
        <w:t>toda norma o disposición que se oponga a la presente.</w:t>
      </w:r>
    </w:p>
    <w:p w:rsidR="0007427E" w:rsidRDefault="0007427E" w:rsidP="006B5F5D">
      <w:pPr>
        <w:spacing w:line="276" w:lineRule="auto"/>
        <w:jc w:val="both"/>
        <w:rPr>
          <w:rFonts w:eastAsia="Verdana"/>
          <w:sz w:val="28"/>
          <w:szCs w:val="28"/>
        </w:rPr>
      </w:pPr>
      <w:r>
        <w:rPr>
          <w:rFonts w:eastAsia="Verdana"/>
          <w:b/>
          <w:sz w:val="28"/>
          <w:szCs w:val="28"/>
        </w:rPr>
        <w:t>Artículo 3</w:t>
      </w:r>
      <w:r w:rsidRPr="00EA74AE">
        <w:rPr>
          <w:rFonts w:eastAsia="Verdana"/>
          <w:b/>
          <w:sz w:val="28"/>
          <w:szCs w:val="28"/>
        </w:rPr>
        <w:t>º: COMUNÍQUESE</w:t>
      </w:r>
      <w:r w:rsidRPr="00EA74AE">
        <w:rPr>
          <w:rFonts w:eastAsia="Verdana"/>
          <w:sz w:val="28"/>
          <w:szCs w:val="28"/>
        </w:rPr>
        <w:t>, Promúlguese, Publíquese, dese al Registro Municipal y Archívese.</w:t>
      </w:r>
    </w:p>
    <w:p w:rsidR="006B5F5D" w:rsidRPr="00EA74AE" w:rsidRDefault="006B5F5D" w:rsidP="006B5F5D">
      <w:pPr>
        <w:spacing w:line="276" w:lineRule="auto"/>
        <w:jc w:val="both"/>
        <w:rPr>
          <w:sz w:val="28"/>
          <w:szCs w:val="28"/>
        </w:rPr>
      </w:pPr>
    </w:p>
    <w:p w:rsidR="0029256B" w:rsidRPr="0007427E" w:rsidRDefault="0007427E">
      <w:pPr>
        <w:rPr>
          <w:sz w:val="22"/>
          <w:szCs w:val="28"/>
        </w:rPr>
      </w:pPr>
      <w:r w:rsidRPr="0007427E">
        <w:rPr>
          <w:sz w:val="22"/>
          <w:szCs w:val="28"/>
        </w:rPr>
        <w:t xml:space="preserve">Dada en sala de </w:t>
      </w:r>
    </w:p>
    <w:p w:rsidR="0007427E" w:rsidRPr="0007427E" w:rsidRDefault="0007427E">
      <w:pPr>
        <w:rPr>
          <w:sz w:val="22"/>
          <w:szCs w:val="28"/>
        </w:rPr>
      </w:pPr>
      <w:r w:rsidRPr="0007427E">
        <w:rPr>
          <w:sz w:val="22"/>
          <w:szCs w:val="28"/>
        </w:rPr>
        <w:t>Sesiones el 02/06/25</w:t>
      </w:r>
    </w:p>
    <w:p w:rsidR="0007427E" w:rsidRPr="0007427E" w:rsidRDefault="0007427E">
      <w:pPr>
        <w:rPr>
          <w:sz w:val="22"/>
          <w:szCs w:val="28"/>
        </w:rPr>
      </w:pPr>
      <w:r w:rsidRPr="0007427E">
        <w:rPr>
          <w:sz w:val="22"/>
          <w:szCs w:val="28"/>
        </w:rPr>
        <w:t>S/ Acta Nº 14</w:t>
      </w:r>
    </w:p>
    <w:sectPr w:rsidR="0007427E" w:rsidRPr="0007427E" w:rsidSect="0007427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2" w:h="20163" w:code="5"/>
      <w:pgMar w:top="1418" w:right="1134" w:bottom="851" w:left="1134" w:header="720" w:footer="72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6015" w:rsidRDefault="002B6015" w:rsidP="0007427E">
      <w:r>
        <w:separator/>
      </w:r>
    </w:p>
  </w:endnote>
  <w:endnote w:type="continuationSeparator" w:id="0">
    <w:p w:rsidR="002B6015" w:rsidRDefault="002B6015" w:rsidP="00074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6582" w:rsidRDefault="002B601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6582" w:rsidRDefault="002B601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6582" w:rsidRDefault="002B601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6015" w:rsidRDefault="002B6015" w:rsidP="0007427E">
      <w:r>
        <w:separator/>
      </w:r>
    </w:p>
  </w:footnote>
  <w:footnote w:type="continuationSeparator" w:id="0">
    <w:p w:rsidR="002B6015" w:rsidRDefault="002B6015" w:rsidP="00074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6582" w:rsidRDefault="002B601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6582" w:rsidRDefault="0030398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noProof/>
        <w:lang w:val="es-AR"/>
      </w:rPr>
      <w:drawing>
        <wp:inline distT="0" distB="0" distL="0" distR="0" wp14:anchorId="79E82530" wp14:editId="59E7A646">
          <wp:extent cx="2124636" cy="517675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26520" cy="51813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6582" w:rsidRDefault="002B601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607A"/>
    <w:rsid w:val="0007427E"/>
    <w:rsid w:val="0029256B"/>
    <w:rsid w:val="002B6015"/>
    <w:rsid w:val="00303981"/>
    <w:rsid w:val="006B5F5D"/>
    <w:rsid w:val="007A6633"/>
    <w:rsid w:val="00E26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65A2AD11-E65E-4722-9F4C-2786D5883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074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B5F5D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5F5D"/>
    <w:rPr>
      <w:rFonts w:ascii="Segoe UI" w:eastAsia="Times New Roman" w:hAnsi="Segoe UI" w:cs="Segoe UI"/>
      <w:sz w:val="18"/>
      <w:szCs w:val="18"/>
      <w:lang w:val="es-ES" w:eastAsia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332</Words>
  <Characters>1829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</dc:creator>
  <cp:keywords/>
  <dc:description/>
  <cp:lastModifiedBy>Secre</cp:lastModifiedBy>
  <cp:revision>3</cp:revision>
  <cp:lastPrinted>2025-06-02T14:14:00Z</cp:lastPrinted>
  <dcterms:created xsi:type="dcterms:W3CDTF">2025-06-02T12:32:00Z</dcterms:created>
  <dcterms:modified xsi:type="dcterms:W3CDTF">2025-06-02T14:37:00Z</dcterms:modified>
</cp:coreProperties>
</file>