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4818" w:rsidRDefault="00974818" w:rsidP="0007162F">
      <w:pPr>
        <w:pStyle w:val="Ttulo1"/>
        <w:ind w:left="0"/>
        <w:jc w:val="center"/>
        <w:rPr>
          <w:rFonts w:ascii="Times New Roman" w:hAnsi="Times New Roman" w:cs="Times New Roman"/>
          <w:spacing w:val="-2"/>
          <w:sz w:val="40"/>
          <w:szCs w:val="28"/>
        </w:rPr>
      </w:pPr>
      <w:r>
        <w:rPr>
          <w:rFonts w:ascii="Times New Roman" w:hAnsi="Times New Roman" w:cs="Times New Roman"/>
          <w:spacing w:val="-2"/>
          <w:sz w:val="40"/>
          <w:szCs w:val="28"/>
        </w:rPr>
        <w:t>ORDENANZA Nº</w:t>
      </w:r>
      <w:r w:rsidR="0007162F">
        <w:rPr>
          <w:rFonts w:ascii="Times New Roman" w:hAnsi="Times New Roman" w:cs="Times New Roman"/>
          <w:spacing w:val="-2"/>
          <w:sz w:val="40"/>
          <w:szCs w:val="28"/>
        </w:rPr>
        <w:t xml:space="preserve"> 1530/25</w:t>
      </w:r>
    </w:p>
    <w:p w:rsidR="00974818" w:rsidRPr="0007162F" w:rsidRDefault="0007162F" w:rsidP="0007162F">
      <w:pPr>
        <w:pStyle w:val="Ttulo1"/>
        <w:rPr>
          <w:rFonts w:ascii="Times New Roman" w:hAnsi="Times New Roman" w:cs="Times New Roman"/>
          <w:spacing w:val="-2"/>
          <w:sz w:val="16"/>
          <w:szCs w:val="28"/>
        </w:rPr>
      </w:pPr>
      <w:r>
        <w:rPr>
          <w:rFonts w:ascii="Times New Roman" w:hAnsi="Times New Roman" w:cs="Times New Roman"/>
          <w:spacing w:val="-2"/>
          <w:sz w:val="16"/>
          <w:szCs w:val="28"/>
        </w:rPr>
        <w:t xml:space="preserve">                                                           “Ratificación Decreto 01/25 Presidente Concejo Deliberante”</w:t>
      </w:r>
    </w:p>
    <w:p w:rsidR="00974818" w:rsidRDefault="00974818" w:rsidP="00974818">
      <w:pPr>
        <w:pStyle w:val="Ttulo1"/>
        <w:ind w:left="969"/>
        <w:rPr>
          <w:rFonts w:ascii="Times New Roman" w:hAnsi="Times New Roman" w:cs="Times New Roman"/>
          <w:spacing w:val="-2"/>
          <w:sz w:val="28"/>
          <w:szCs w:val="28"/>
        </w:rPr>
      </w:pPr>
    </w:p>
    <w:p w:rsidR="00974818" w:rsidRDefault="00974818" w:rsidP="000B0B1E">
      <w:pPr>
        <w:pStyle w:val="Ttulo1"/>
        <w:rPr>
          <w:rFonts w:ascii="Times New Roman" w:hAnsi="Times New Roman" w:cs="Times New Roman"/>
          <w:sz w:val="32"/>
          <w:szCs w:val="28"/>
        </w:rPr>
      </w:pPr>
      <w:r>
        <w:rPr>
          <w:rFonts w:ascii="Times New Roman" w:hAnsi="Times New Roman" w:cs="Times New Roman"/>
          <w:spacing w:val="-2"/>
          <w:sz w:val="32"/>
          <w:szCs w:val="28"/>
        </w:rPr>
        <w:t>VISTO:</w:t>
      </w:r>
    </w:p>
    <w:p w:rsidR="00974818" w:rsidRDefault="000B0B1E" w:rsidP="00974818">
      <w:pPr>
        <w:pStyle w:val="Textoindependiente"/>
        <w:spacing w:before="146"/>
        <w:ind w:left="1053"/>
        <w:rPr>
          <w:rFonts w:ascii="Times New Roman" w:hAnsi="Times New Roman" w:cs="Times New Roman"/>
          <w:sz w:val="28"/>
          <w:szCs w:val="28"/>
        </w:rPr>
      </w:pPr>
      <w:r>
        <w:rPr>
          <w:rFonts w:ascii="Times New Roman" w:hAnsi="Times New Roman" w:cs="Times New Roman"/>
          <w:sz w:val="28"/>
          <w:szCs w:val="28"/>
        </w:rPr>
        <w:t xml:space="preserve">   </w:t>
      </w:r>
      <w:r w:rsidR="00974818">
        <w:rPr>
          <w:rFonts w:ascii="Times New Roman" w:hAnsi="Times New Roman" w:cs="Times New Roman"/>
          <w:sz w:val="28"/>
          <w:szCs w:val="28"/>
        </w:rPr>
        <w:t xml:space="preserve">El Decreto N° 01/2025 de fecha 2 de Junio de 2025, </w:t>
      </w:r>
      <w:r w:rsidR="00974818">
        <w:rPr>
          <w:rFonts w:ascii="Times New Roman" w:hAnsi="Times New Roman" w:cs="Times New Roman"/>
          <w:spacing w:val="-10"/>
          <w:sz w:val="28"/>
          <w:szCs w:val="28"/>
        </w:rPr>
        <w:t>y</w:t>
      </w:r>
    </w:p>
    <w:p w:rsidR="00974818" w:rsidRDefault="00974818" w:rsidP="00974818">
      <w:pPr>
        <w:pStyle w:val="Textoindependiente"/>
        <w:spacing w:before="79"/>
        <w:jc w:val="center"/>
        <w:rPr>
          <w:rFonts w:ascii="Times New Roman" w:hAnsi="Times New Roman" w:cs="Times New Roman"/>
          <w:sz w:val="28"/>
          <w:szCs w:val="28"/>
        </w:rPr>
      </w:pPr>
    </w:p>
    <w:p w:rsidR="00974818" w:rsidRDefault="00974818" w:rsidP="000B0B1E">
      <w:pPr>
        <w:pStyle w:val="Ttulo1"/>
        <w:rPr>
          <w:rFonts w:ascii="Times New Roman" w:hAnsi="Times New Roman" w:cs="Times New Roman"/>
          <w:sz w:val="32"/>
          <w:szCs w:val="28"/>
        </w:rPr>
      </w:pPr>
      <w:r>
        <w:rPr>
          <w:rFonts w:ascii="Times New Roman" w:hAnsi="Times New Roman" w:cs="Times New Roman"/>
          <w:spacing w:val="-2"/>
          <w:sz w:val="32"/>
          <w:szCs w:val="28"/>
        </w:rPr>
        <w:t>CONSIDERANDO:</w:t>
      </w:r>
    </w:p>
    <w:p w:rsidR="00974818" w:rsidRDefault="000B0B1E" w:rsidP="00974818">
      <w:pPr>
        <w:pStyle w:val="Textoindependiente"/>
        <w:spacing w:before="146" w:line="360" w:lineRule="auto"/>
        <w:ind w:left="260" w:right="260" w:firstLine="794"/>
        <w:jc w:val="both"/>
        <w:rPr>
          <w:rFonts w:ascii="Times New Roman" w:hAnsi="Times New Roman" w:cs="Times New Roman"/>
          <w:sz w:val="28"/>
          <w:szCs w:val="28"/>
        </w:rPr>
      </w:pPr>
      <w:r>
        <w:rPr>
          <w:rFonts w:ascii="Times New Roman" w:hAnsi="Times New Roman" w:cs="Times New Roman"/>
          <w:sz w:val="28"/>
          <w:szCs w:val="28"/>
        </w:rPr>
        <w:t xml:space="preserve">              </w:t>
      </w:r>
      <w:r w:rsidR="00974818">
        <w:rPr>
          <w:rFonts w:ascii="Times New Roman" w:hAnsi="Times New Roman" w:cs="Times New Roman"/>
          <w:sz w:val="28"/>
          <w:szCs w:val="28"/>
        </w:rPr>
        <w:t>Que</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mediante</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Decreto</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N°</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01/2025</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de</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fecha</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2</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de</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Junio</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de</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2025</w:t>
      </w:r>
      <w:r w:rsidR="00974818">
        <w:rPr>
          <w:rFonts w:ascii="Times New Roman" w:hAnsi="Times New Roman" w:cs="Times New Roman"/>
          <w:spacing w:val="-1"/>
          <w:sz w:val="28"/>
          <w:szCs w:val="28"/>
        </w:rPr>
        <w:t xml:space="preserve"> </w:t>
      </w:r>
      <w:r w:rsidR="00974818">
        <w:rPr>
          <w:rFonts w:ascii="Times New Roman" w:hAnsi="Times New Roman" w:cs="Times New Roman"/>
          <w:sz w:val="28"/>
          <w:szCs w:val="28"/>
        </w:rPr>
        <w:t xml:space="preserve">la presidencia del Concejo Deliberante de Tanti rechaza el Recurso de Reconsideración interpuesto por los Concejales Sres. Lucio Alberto LOPEZ y Marcela Edith SUAREZ, en contra del decisorio de fecha </w:t>
      </w:r>
      <w:r w:rsidR="00974818">
        <w:rPr>
          <w:rFonts w:ascii="Times New Roman" w:hAnsi="Times New Roman" w:cs="Times New Roman"/>
          <w:spacing w:val="-2"/>
          <w:sz w:val="28"/>
          <w:szCs w:val="28"/>
        </w:rPr>
        <w:t>09/04/2025.</w:t>
      </w:r>
    </w:p>
    <w:p w:rsidR="00974818" w:rsidRDefault="000B0B1E" w:rsidP="00974818">
      <w:pPr>
        <w:pStyle w:val="Textoindependiente"/>
        <w:spacing w:before="160" w:line="360" w:lineRule="auto"/>
        <w:ind w:left="260" w:right="260" w:firstLine="708"/>
        <w:jc w:val="both"/>
        <w:rPr>
          <w:rFonts w:ascii="Times New Roman" w:hAnsi="Times New Roman" w:cs="Times New Roman"/>
          <w:sz w:val="28"/>
          <w:szCs w:val="28"/>
        </w:rPr>
      </w:pPr>
      <w:r>
        <w:rPr>
          <w:rFonts w:ascii="Times New Roman" w:hAnsi="Times New Roman" w:cs="Times New Roman"/>
          <w:sz w:val="28"/>
          <w:szCs w:val="28"/>
        </w:rPr>
        <w:t xml:space="preserve">                 </w:t>
      </w:r>
      <w:r w:rsidR="00974818">
        <w:rPr>
          <w:rFonts w:ascii="Times New Roman" w:hAnsi="Times New Roman" w:cs="Times New Roman"/>
          <w:sz w:val="28"/>
          <w:szCs w:val="28"/>
        </w:rPr>
        <w:t>Que este Concejo comparte los fundamentos expresados en los considerandos del mencionado Decreto, tanto en los aspectos fácticos como legales, toda vez que las ausencias injustificadas a las sesiones implican descuento en los gastos de representación que perciben los Sres. Concejales.</w:t>
      </w:r>
    </w:p>
    <w:p w:rsidR="00974818" w:rsidRDefault="000B0B1E" w:rsidP="00974818">
      <w:pPr>
        <w:pStyle w:val="Textoindependiente"/>
        <w:spacing w:before="160"/>
        <w:ind w:left="260"/>
        <w:jc w:val="both"/>
        <w:rPr>
          <w:rFonts w:ascii="Times New Roman" w:hAnsi="Times New Roman" w:cs="Times New Roman"/>
          <w:sz w:val="28"/>
          <w:szCs w:val="28"/>
        </w:rPr>
      </w:pPr>
      <w:r>
        <w:rPr>
          <w:rFonts w:ascii="Times New Roman" w:hAnsi="Times New Roman" w:cs="Times New Roman"/>
          <w:sz w:val="28"/>
          <w:szCs w:val="28"/>
        </w:rPr>
        <w:t xml:space="preserve">                              </w:t>
      </w:r>
      <w:r w:rsidR="00974818">
        <w:rPr>
          <w:rFonts w:ascii="Times New Roman" w:hAnsi="Times New Roman" w:cs="Times New Roman"/>
          <w:sz w:val="28"/>
          <w:szCs w:val="28"/>
        </w:rPr>
        <w:t xml:space="preserve">Por </w:t>
      </w:r>
      <w:r w:rsidR="00974818">
        <w:rPr>
          <w:rFonts w:ascii="Times New Roman" w:hAnsi="Times New Roman" w:cs="Times New Roman"/>
          <w:spacing w:val="-2"/>
          <w:sz w:val="28"/>
          <w:szCs w:val="28"/>
        </w:rPr>
        <w:t>ello,</w:t>
      </w:r>
    </w:p>
    <w:p w:rsidR="00974818" w:rsidRDefault="00974818" w:rsidP="00974818">
      <w:pPr>
        <w:pStyle w:val="Textoindependiente"/>
        <w:rPr>
          <w:rFonts w:ascii="Times New Roman" w:hAnsi="Times New Roman" w:cs="Times New Roman"/>
          <w:sz w:val="28"/>
          <w:szCs w:val="28"/>
        </w:rPr>
      </w:pPr>
    </w:p>
    <w:p w:rsidR="00974818" w:rsidRDefault="00974818" w:rsidP="00974818">
      <w:pPr>
        <w:pStyle w:val="Textoindependiente"/>
        <w:rPr>
          <w:rFonts w:ascii="Times New Roman" w:hAnsi="Times New Roman" w:cs="Times New Roman"/>
          <w:sz w:val="28"/>
          <w:szCs w:val="28"/>
        </w:rPr>
      </w:pPr>
    </w:p>
    <w:p w:rsidR="00974818" w:rsidRDefault="00974818" w:rsidP="00974818">
      <w:pPr>
        <w:pStyle w:val="Ttulo1"/>
        <w:spacing w:line="360" w:lineRule="auto"/>
        <w:ind w:right="80"/>
        <w:jc w:val="center"/>
        <w:rPr>
          <w:rFonts w:ascii="Times New Roman" w:hAnsi="Times New Roman" w:cs="Times New Roman"/>
          <w:sz w:val="32"/>
          <w:szCs w:val="28"/>
        </w:rPr>
      </w:pPr>
      <w:r>
        <w:rPr>
          <w:rFonts w:ascii="Times New Roman" w:hAnsi="Times New Roman" w:cs="Times New Roman"/>
          <w:sz w:val="32"/>
          <w:szCs w:val="28"/>
        </w:rPr>
        <w:t>EL</w:t>
      </w:r>
      <w:r>
        <w:rPr>
          <w:rFonts w:ascii="Times New Roman" w:hAnsi="Times New Roman" w:cs="Times New Roman"/>
          <w:spacing w:val="-6"/>
          <w:sz w:val="32"/>
          <w:szCs w:val="28"/>
        </w:rPr>
        <w:t xml:space="preserve"> </w:t>
      </w:r>
      <w:r>
        <w:rPr>
          <w:rFonts w:ascii="Times New Roman" w:hAnsi="Times New Roman" w:cs="Times New Roman"/>
          <w:sz w:val="32"/>
          <w:szCs w:val="28"/>
        </w:rPr>
        <w:t>CONCEJO</w:t>
      </w:r>
      <w:r>
        <w:rPr>
          <w:rFonts w:ascii="Times New Roman" w:hAnsi="Times New Roman" w:cs="Times New Roman"/>
          <w:spacing w:val="-6"/>
          <w:sz w:val="32"/>
          <w:szCs w:val="28"/>
        </w:rPr>
        <w:t xml:space="preserve"> </w:t>
      </w:r>
      <w:r>
        <w:rPr>
          <w:rFonts w:ascii="Times New Roman" w:hAnsi="Times New Roman" w:cs="Times New Roman"/>
          <w:sz w:val="32"/>
          <w:szCs w:val="28"/>
        </w:rPr>
        <w:t>DELIBERANTE</w:t>
      </w:r>
      <w:r>
        <w:rPr>
          <w:rFonts w:ascii="Times New Roman" w:hAnsi="Times New Roman" w:cs="Times New Roman"/>
          <w:spacing w:val="-6"/>
          <w:sz w:val="32"/>
          <w:szCs w:val="28"/>
        </w:rPr>
        <w:t xml:space="preserve"> </w:t>
      </w:r>
      <w:r>
        <w:rPr>
          <w:rFonts w:ascii="Times New Roman" w:hAnsi="Times New Roman" w:cs="Times New Roman"/>
          <w:sz w:val="32"/>
          <w:szCs w:val="28"/>
        </w:rPr>
        <w:t>DE</w:t>
      </w:r>
      <w:r>
        <w:rPr>
          <w:rFonts w:ascii="Times New Roman" w:hAnsi="Times New Roman" w:cs="Times New Roman"/>
          <w:spacing w:val="-6"/>
          <w:sz w:val="32"/>
          <w:szCs w:val="28"/>
        </w:rPr>
        <w:t xml:space="preserve"> </w:t>
      </w:r>
      <w:r>
        <w:rPr>
          <w:rFonts w:ascii="Times New Roman" w:hAnsi="Times New Roman" w:cs="Times New Roman"/>
          <w:sz w:val="32"/>
          <w:szCs w:val="28"/>
        </w:rPr>
        <w:t>LA</w:t>
      </w:r>
      <w:r>
        <w:rPr>
          <w:rFonts w:ascii="Times New Roman" w:hAnsi="Times New Roman" w:cs="Times New Roman"/>
          <w:spacing w:val="-6"/>
          <w:sz w:val="32"/>
          <w:szCs w:val="28"/>
        </w:rPr>
        <w:t xml:space="preserve"> </w:t>
      </w:r>
      <w:r>
        <w:rPr>
          <w:rFonts w:ascii="Times New Roman" w:hAnsi="Times New Roman" w:cs="Times New Roman"/>
          <w:sz w:val="32"/>
          <w:szCs w:val="28"/>
        </w:rPr>
        <w:t>MUNICIPALIDAD</w:t>
      </w:r>
      <w:r>
        <w:rPr>
          <w:rFonts w:ascii="Times New Roman" w:hAnsi="Times New Roman" w:cs="Times New Roman"/>
          <w:spacing w:val="-6"/>
          <w:sz w:val="32"/>
          <w:szCs w:val="28"/>
        </w:rPr>
        <w:t xml:space="preserve"> </w:t>
      </w:r>
      <w:r>
        <w:rPr>
          <w:rFonts w:ascii="Times New Roman" w:hAnsi="Times New Roman" w:cs="Times New Roman"/>
          <w:sz w:val="32"/>
          <w:szCs w:val="28"/>
        </w:rPr>
        <w:t>DE</w:t>
      </w:r>
      <w:r>
        <w:rPr>
          <w:rFonts w:ascii="Times New Roman" w:hAnsi="Times New Roman" w:cs="Times New Roman"/>
          <w:spacing w:val="-6"/>
          <w:sz w:val="32"/>
          <w:szCs w:val="28"/>
        </w:rPr>
        <w:t xml:space="preserve"> </w:t>
      </w:r>
      <w:r>
        <w:rPr>
          <w:rFonts w:ascii="Times New Roman" w:hAnsi="Times New Roman" w:cs="Times New Roman"/>
          <w:sz w:val="32"/>
          <w:szCs w:val="28"/>
        </w:rPr>
        <w:t>TANTI SANCIONA CON FUERZA DE</w:t>
      </w:r>
    </w:p>
    <w:p w:rsidR="00974818" w:rsidRDefault="00974818" w:rsidP="00974818">
      <w:pPr>
        <w:ind w:left="82"/>
        <w:jc w:val="center"/>
        <w:rPr>
          <w:rFonts w:ascii="Times New Roman" w:hAnsi="Times New Roman" w:cs="Times New Roman"/>
          <w:b/>
          <w:sz w:val="32"/>
          <w:szCs w:val="28"/>
        </w:rPr>
      </w:pPr>
      <w:r>
        <w:rPr>
          <w:rFonts w:ascii="Times New Roman" w:hAnsi="Times New Roman" w:cs="Times New Roman"/>
          <w:b/>
          <w:spacing w:val="-2"/>
          <w:sz w:val="32"/>
          <w:szCs w:val="28"/>
        </w:rPr>
        <w:t>ORDENANZA:</w:t>
      </w:r>
    </w:p>
    <w:p w:rsidR="00974818" w:rsidRDefault="00974818" w:rsidP="00974818">
      <w:pPr>
        <w:pStyle w:val="Textoindependiente"/>
        <w:rPr>
          <w:rFonts w:ascii="Times New Roman" w:hAnsi="Times New Roman" w:cs="Times New Roman"/>
          <w:b/>
          <w:sz w:val="28"/>
          <w:szCs w:val="28"/>
        </w:rPr>
      </w:pPr>
    </w:p>
    <w:p w:rsidR="00974818" w:rsidRDefault="00974818" w:rsidP="00974818">
      <w:pPr>
        <w:pStyle w:val="Textoindependiente"/>
        <w:spacing w:before="2"/>
        <w:rPr>
          <w:rFonts w:ascii="Times New Roman" w:hAnsi="Times New Roman" w:cs="Times New Roman"/>
          <w:b/>
          <w:sz w:val="28"/>
          <w:szCs w:val="28"/>
        </w:rPr>
      </w:pPr>
    </w:p>
    <w:p w:rsidR="00974818" w:rsidRDefault="00974818" w:rsidP="00974818">
      <w:pPr>
        <w:pStyle w:val="Textoindependiente"/>
        <w:spacing w:line="360" w:lineRule="auto"/>
        <w:ind w:left="260" w:right="260"/>
        <w:jc w:val="both"/>
        <w:rPr>
          <w:rFonts w:ascii="Times New Roman" w:hAnsi="Times New Roman" w:cs="Times New Roman"/>
          <w:sz w:val="28"/>
          <w:szCs w:val="28"/>
        </w:rPr>
      </w:pPr>
      <w:r>
        <w:rPr>
          <w:rFonts w:ascii="Times New Roman" w:hAnsi="Times New Roman" w:cs="Times New Roman"/>
          <w:b/>
          <w:sz w:val="28"/>
          <w:szCs w:val="28"/>
        </w:rPr>
        <w:t xml:space="preserve">Artículo 1°: RATIFÍQUESE y APRUÉBESE </w:t>
      </w:r>
      <w:r>
        <w:rPr>
          <w:rFonts w:ascii="Times New Roman" w:hAnsi="Times New Roman" w:cs="Times New Roman"/>
          <w:sz w:val="28"/>
          <w:szCs w:val="28"/>
        </w:rPr>
        <w:t>en todos sus términos el Decreto N° 01/2025 de fecha 2 de Junio de 2025 emitido por la presidencia</w:t>
      </w:r>
      <w:r>
        <w:rPr>
          <w:rFonts w:ascii="Times New Roman" w:hAnsi="Times New Roman" w:cs="Times New Roman"/>
          <w:spacing w:val="-1"/>
          <w:sz w:val="28"/>
          <w:szCs w:val="28"/>
        </w:rPr>
        <w:t xml:space="preserve"> </w:t>
      </w:r>
      <w:r>
        <w:rPr>
          <w:rFonts w:ascii="Times New Roman" w:hAnsi="Times New Roman" w:cs="Times New Roman"/>
          <w:sz w:val="28"/>
          <w:szCs w:val="28"/>
        </w:rPr>
        <w:t>de</w:t>
      </w:r>
      <w:r>
        <w:rPr>
          <w:rFonts w:ascii="Times New Roman" w:hAnsi="Times New Roman" w:cs="Times New Roman"/>
          <w:spacing w:val="-1"/>
          <w:sz w:val="28"/>
          <w:szCs w:val="28"/>
        </w:rPr>
        <w:t xml:space="preserve"> </w:t>
      </w:r>
      <w:r>
        <w:rPr>
          <w:rFonts w:ascii="Times New Roman" w:hAnsi="Times New Roman" w:cs="Times New Roman"/>
          <w:sz w:val="28"/>
          <w:szCs w:val="28"/>
        </w:rPr>
        <w:t>esta</w:t>
      </w:r>
      <w:r>
        <w:rPr>
          <w:rFonts w:ascii="Times New Roman" w:hAnsi="Times New Roman" w:cs="Times New Roman"/>
          <w:spacing w:val="-1"/>
          <w:sz w:val="28"/>
          <w:szCs w:val="28"/>
        </w:rPr>
        <w:t xml:space="preserve"> </w:t>
      </w:r>
      <w:r>
        <w:rPr>
          <w:rFonts w:ascii="Times New Roman" w:hAnsi="Times New Roman" w:cs="Times New Roman"/>
          <w:sz w:val="28"/>
          <w:szCs w:val="28"/>
        </w:rPr>
        <w:t>Concejo</w:t>
      </w:r>
      <w:r>
        <w:rPr>
          <w:rFonts w:ascii="Times New Roman" w:hAnsi="Times New Roman" w:cs="Times New Roman"/>
          <w:spacing w:val="-1"/>
          <w:sz w:val="28"/>
          <w:szCs w:val="28"/>
        </w:rPr>
        <w:t xml:space="preserve"> </w:t>
      </w:r>
      <w:r>
        <w:rPr>
          <w:rFonts w:ascii="Times New Roman" w:hAnsi="Times New Roman" w:cs="Times New Roman"/>
          <w:sz w:val="28"/>
          <w:szCs w:val="28"/>
        </w:rPr>
        <w:t>Deliberante,</w:t>
      </w:r>
      <w:r>
        <w:rPr>
          <w:rFonts w:ascii="Times New Roman" w:hAnsi="Times New Roman" w:cs="Times New Roman"/>
          <w:spacing w:val="-1"/>
          <w:sz w:val="28"/>
          <w:szCs w:val="28"/>
        </w:rPr>
        <w:t xml:space="preserve"> </w:t>
      </w:r>
      <w:r>
        <w:rPr>
          <w:rFonts w:ascii="Times New Roman" w:hAnsi="Times New Roman" w:cs="Times New Roman"/>
          <w:sz w:val="28"/>
          <w:szCs w:val="28"/>
        </w:rPr>
        <w:t>el</w:t>
      </w:r>
      <w:r>
        <w:rPr>
          <w:rFonts w:ascii="Times New Roman" w:hAnsi="Times New Roman" w:cs="Times New Roman"/>
          <w:spacing w:val="-1"/>
          <w:sz w:val="28"/>
          <w:szCs w:val="28"/>
        </w:rPr>
        <w:t xml:space="preserve"> </w:t>
      </w:r>
      <w:r>
        <w:rPr>
          <w:rFonts w:ascii="Times New Roman" w:hAnsi="Times New Roman" w:cs="Times New Roman"/>
          <w:sz w:val="28"/>
          <w:szCs w:val="28"/>
        </w:rPr>
        <w:t>que</w:t>
      </w:r>
      <w:r>
        <w:rPr>
          <w:rFonts w:ascii="Times New Roman" w:hAnsi="Times New Roman" w:cs="Times New Roman"/>
          <w:spacing w:val="-1"/>
          <w:sz w:val="28"/>
          <w:szCs w:val="28"/>
        </w:rPr>
        <w:t xml:space="preserve"> </w:t>
      </w:r>
      <w:r>
        <w:rPr>
          <w:rFonts w:ascii="Times New Roman" w:hAnsi="Times New Roman" w:cs="Times New Roman"/>
          <w:sz w:val="28"/>
          <w:szCs w:val="28"/>
        </w:rPr>
        <w:t>obra</w:t>
      </w:r>
      <w:r>
        <w:rPr>
          <w:rFonts w:ascii="Times New Roman" w:hAnsi="Times New Roman" w:cs="Times New Roman"/>
          <w:spacing w:val="-1"/>
          <w:sz w:val="28"/>
          <w:szCs w:val="28"/>
        </w:rPr>
        <w:t xml:space="preserve"> </w:t>
      </w:r>
      <w:r>
        <w:rPr>
          <w:rFonts w:ascii="Times New Roman" w:hAnsi="Times New Roman" w:cs="Times New Roman"/>
          <w:sz w:val="28"/>
          <w:szCs w:val="28"/>
        </w:rPr>
        <w:t>como</w:t>
      </w:r>
      <w:r>
        <w:rPr>
          <w:rFonts w:ascii="Times New Roman" w:hAnsi="Times New Roman" w:cs="Times New Roman"/>
          <w:spacing w:val="-1"/>
          <w:sz w:val="28"/>
          <w:szCs w:val="28"/>
        </w:rPr>
        <w:t xml:space="preserve"> </w:t>
      </w:r>
      <w:r>
        <w:rPr>
          <w:rFonts w:ascii="Times New Roman" w:hAnsi="Times New Roman" w:cs="Times New Roman"/>
          <w:sz w:val="28"/>
          <w:szCs w:val="28"/>
        </w:rPr>
        <w:t>Anexo</w:t>
      </w:r>
      <w:r>
        <w:rPr>
          <w:rFonts w:ascii="Times New Roman" w:hAnsi="Times New Roman" w:cs="Times New Roman"/>
          <w:spacing w:val="-1"/>
          <w:sz w:val="28"/>
          <w:szCs w:val="28"/>
        </w:rPr>
        <w:t xml:space="preserve"> </w:t>
      </w:r>
      <w:r>
        <w:rPr>
          <w:rFonts w:ascii="Times New Roman" w:hAnsi="Times New Roman" w:cs="Times New Roman"/>
          <w:sz w:val="28"/>
          <w:szCs w:val="28"/>
        </w:rPr>
        <w:t>I</w:t>
      </w:r>
      <w:r>
        <w:rPr>
          <w:rFonts w:ascii="Times New Roman" w:hAnsi="Times New Roman" w:cs="Times New Roman"/>
          <w:spacing w:val="-1"/>
          <w:sz w:val="28"/>
          <w:szCs w:val="28"/>
        </w:rPr>
        <w:t xml:space="preserve"> </w:t>
      </w:r>
      <w:r>
        <w:rPr>
          <w:rFonts w:ascii="Times New Roman" w:hAnsi="Times New Roman" w:cs="Times New Roman"/>
          <w:sz w:val="28"/>
          <w:szCs w:val="28"/>
        </w:rPr>
        <w:t>de</w:t>
      </w:r>
      <w:r>
        <w:rPr>
          <w:rFonts w:ascii="Times New Roman" w:hAnsi="Times New Roman" w:cs="Times New Roman"/>
          <w:spacing w:val="-1"/>
          <w:sz w:val="28"/>
          <w:szCs w:val="28"/>
        </w:rPr>
        <w:t xml:space="preserve"> </w:t>
      </w:r>
      <w:r>
        <w:rPr>
          <w:rFonts w:ascii="Times New Roman" w:hAnsi="Times New Roman" w:cs="Times New Roman"/>
          <w:sz w:val="28"/>
          <w:szCs w:val="28"/>
        </w:rPr>
        <w:t>la presente Ordenanza.</w:t>
      </w:r>
    </w:p>
    <w:p w:rsidR="00974818" w:rsidRDefault="00974818" w:rsidP="00974818">
      <w:pPr>
        <w:tabs>
          <w:tab w:val="left" w:pos="1553"/>
          <w:tab w:val="left" w:pos="2197"/>
          <w:tab w:val="left" w:pos="4555"/>
          <w:tab w:val="left" w:pos="6437"/>
          <w:tab w:val="left" w:pos="8054"/>
          <w:tab w:val="left" w:pos="8888"/>
        </w:tabs>
        <w:spacing w:before="160" w:line="360" w:lineRule="auto"/>
        <w:ind w:left="260" w:right="259"/>
        <w:rPr>
          <w:rFonts w:ascii="Times New Roman" w:hAnsi="Times New Roman" w:cs="Times New Roman"/>
          <w:sz w:val="28"/>
          <w:szCs w:val="28"/>
        </w:rPr>
      </w:pPr>
      <w:r>
        <w:rPr>
          <w:rFonts w:ascii="Times New Roman" w:hAnsi="Times New Roman" w:cs="Times New Roman"/>
          <w:b/>
          <w:spacing w:val="-2"/>
          <w:sz w:val="28"/>
          <w:szCs w:val="28"/>
        </w:rPr>
        <w:t>Artículo</w:t>
      </w:r>
      <w:r>
        <w:rPr>
          <w:rFonts w:ascii="Times New Roman" w:hAnsi="Times New Roman" w:cs="Times New Roman"/>
          <w:b/>
          <w:sz w:val="28"/>
          <w:szCs w:val="28"/>
        </w:rPr>
        <w:tab/>
      </w:r>
      <w:r>
        <w:rPr>
          <w:rFonts w:ascii="Times New Roman" w:hAnsi="Times New Roman" w:cs="Times New Roman"/>
          <w:b/>
          <w:spacing w:val="-4"/>
          <w:sz w:val="28"/>
          <w:szCs w:val="28"/>
        </w:rPr>
        <w:t>2°:</w:t>
      </w:r>
      <w:r>
        <w:rPr>
          <w:rFonts w:ascii="Times New Roman" w:hAnsi="Times New Roman" w:cs="Times New Roman"/>
          <w:b/>
          <w:sz w:val="28"/>
          <w:szCs w:val="28"/>
        </w:rPr>
        <w:tab/>
      </w:r>
      <w:r>
        <w:rPr>
          <w:rFonts w:ascii="Times New Roman" w:hAnsi="Times New Roman" w:cs="Times New Roman"/>
          <w:b/>
          <w:spacing w:val="-2"/>
          <w:sz w:val="28"/>
          <w:szCs w:val="28"/>
        </w:rPr>
        <w:t>COMUNÍQUESE</w:t>
      </w:r>
      <w:r>
        <w:rPr>
          <w:rFonts w:ascii="Times New Roman" w:hAnsi="Times New Roman" w:cs="Times New Roman"/>
          <w:spacing w:val="-2"/>
          <w:sz w:val="28"/>
          <w:szCs w:val="28"/>
        </w:rPr>
        <w:t>,</w:t>
      </w:r>
      <w:r>
        <w:rPr>
          <w:rFonts w:ascii="Times New Roman" w:hAnsi="Times New Roman" w:cs="Times New Roman"/>
          <w:sz w:val="28"/>
          <w:szCs w:val="28"/>
        </w:rPr>
        <w:tab/>
      </w:r>
      <w:r>
        <w:rPr>
          <w:rFonts w:ascii="Times New Roman" w:hAnsi="Times New Roman" w:cs="Times New Roman"/>
          <w:spacing w:val="-2"/>
          <w:sz w:val="28"/>
          <w:szCs w:val="28"/>
        </w:rPr>
        <w:t>Promúlguese,</w:t>
      </w:r>
      <w:r>
        <w:rPr>
          <w:rFonts w:ascii="Times New Roman" w:hAnsi="Times New Roman" w:cs="Times New Roman"/>
          <w:sz w:val="28"/>
          <w:szCs w:val="28"/>
        </w:rPr>
        <w:tab/>
      </w:r>
      <w:r>
        <w:rPr>
          <w:rFonts w:ascii="Times New Roman" w:hAnsi="Times New Roman" w:cs="Times New Roman"/>
          <w:spacing w:val="-2"/>
          <w:sz w:val="28"/>
          <w:szCs w:val="28"/>
        </w:rPr>
        <w:t>Publíquese,</w:t>
      </w:r>
      <w:r>
        <w:rPr>
          <w:rFonts w:ascii="Times New Roman" w:hAnsi="Times New Roman" w:cs="Times New Roman"/>
          <w:sz w:val="28"/>
          <w:szCs w:val="28"/>
        </w:rPr>
        <w:tab/>
      </w:r>
      <w:r>
        <w:rPr>
          <w:rFonts w:ascii="Times New Roman" w:hAnsi="Times New Roman" w:cs="Times New Roman"/>
          <w:spacing w:val="-4"/>
          <w:sz w:val="28"/>
          <w:szCs w:val="28"/>
        </w:rPr>
        <w:t>Dese</w:t>
      </w:r>
      <w:r>
        <w:rPr>
          <w:rFonts w:ascii="Times New Roman" w:hAnsi="Times New Roman" w:cs="Times New Roman"/>
          <w:sz w:val="28"/>
          <w:szCs w:val="28"/>
        </w:rPr>
        <w:tab/>
      </w:r>
      <w:r>
        <w:rPr>
          <w:rFonts w:ascii="Times New Roman" w:hAnsi="Times New Roman" w:cs="Times New Roman"/>
          <w:spacing w:val="-6"/>
          <w:sz w:val="28"/>
          <w:szCs w:val="28"/>
        </w:rPr>
        <w:t xml:space="preserve">al </w:t>
      </w:r>
      <w:r>
        <w:rPr>
          <w:rFonts w:ascii="Times New Roman" w:hAnsi="Times New Roman" w:cs="Times New Roman"/>
          <w:sz w:val="28"/>
          <w:szCs w:val="28"/>
        </w:rPr>
        <w:t>Registro Municipal y Archívese.</w:t>
      </w:r>
    </w:p>
    <w:p w:rsidR="004B13F7" w:rsidRDefault="004B13F7"/>
    <w:p w:rsidR="000B0B1E" w:rsidRDefault="000B0B1E" w:rsidP="000B0B1E">
      <w:pPr>
        <w:spacing w:line="360" w:lineRule="auto"/>
        <w:jc w:val="right"/>
        <w:rPr>
          <w:rFonts w:ascii="Times New Roman" w:eastAsia="Times New Roman" w:hAnsi="Times New Roman"/>
          <w:szCs w:val="24"/>
          <w:lang w:eastAsia="es-ES"/>
        </w:rPr>
      </w:pPr>
    </w:p>
    <w:p w:rsidR="000B0B1E" w:rsidRDefault="000B0B1E" w:rsidP="000B0B1E">
      <w:pPr>
        <w:spacing w:line="360" w:lineRule="auto"/>
        <w:jc w:val="right"/>
        <w:rPr>
          <w:rFonts w:ascii="Times New Roman" w:eastAsia="Times New Roman" w:hAnsi="Times New Roman"/>
          <w:szCs w:val="24"/>
          <w:lang w:eastAsia="es-ES"/>
        </w:rPr>
      </w:pPr>
    </w:p>
    <w:p w:rsidR="000B0B1E" w:rsidRDefault="000B0B1E" w:rsidP="000B0B1E">
      <w:pPr>
        <w:spacing w:line="360" w:lineRule="auto"/>
        <w:jc w:val="right"/>
        <w:rPr>
          <w:rFonts w:ascii="Times New Roman" w:eastAsia="Times New Roman" w:hAnsi="Times New Roman"/>
          <w:szCs w:val="24"/>
          <w:lang w:eastAsia="es-ES"/>
        </w:rPr>
      </w:pPr>
    </w:p>
    <w:p w:rsidR="0007162F" w:rsidRDefault="005C0C7F" w:rsidP="005C0C7F">
      <w:pPr>
        <w:rPr>
          <w:rFonts w:ascii="Times New Roman" w:eastAsia="Times New Roman" w:hAnsi="Times New Roman"/>
          <w:szCs w:val="24"/>
          <w:lang w:eastAsia="es-ES"/>
        </w:rPr>
      </w:pPr>
      <w:r>
        <w:rPr>
          <w:rFonts w:ascii="Times New Roman" w:eastAsia="Times New Roman" w:hAnsi="Times New Roman"/>
          <w:szCs w:val="24"/>
          <w:lang w:eastAsia="es-ES"/>
        </w:rPr>
        <w:t>Dada en Sala de</w:t>
      </w:r>
    </w:p>
    <w:p w:rsidR="005C0C7F" w:rsidRDefault="005C0C7F" w:rsidP="005C0C7F">
      <w:pPr>
        <w:rPr>
          <w:rFonts w:ascii="Times New Roman" w:eastAsia="Times New Roman" w:hAnsi="Times New Roman"/>
          <w:szCs w:val="24"/>
          <w:lang w:eastAsia="es-ES"/>
        </w:rPr>
      </w:pPr>
      <w:r>
        <w:rPr>
          <w:rFonts w:ascii="Times New Roman" w:eastAsia="Times New Roman" w:hAnsi="Times New Roman"/>
          <w:szCs w:val="24"/>
          <w:lang w:eastAsia="es-ES"/>
        </w:rPr>
        <w:t>Sesiones el día 07/07/25</w:t>
      </w:r>
    </w:p>
    <w:p w:rsidR="005C0C7F" w:rsidRDefault="005C0C7F" w:rsidP="005C0C7F">
      <w:pPr>
        <w:rPr>
          <w:rFonts w:ascii="Times New Roman" w:eastAsia="Times New Roman" w:hAnsi="Times New Roman"/>
          <w:szCs w:val="24"/>
          <w:lang w:eastAsia="es-ES"/>
        </w:rPr>
      </w:pPr>
      <w:r>
        <w:rPr>
          <w:rFonts w:ascii="Times New Roman" w:eastAsia="Times New Roman" w:hAnsi="Times New Roman"/>
          <w:szCs w:val="24"/>
          <w:lang w:eastAsia="es-ES"/>
        </w:rPr>
        <w:t>S/ Acta Nº 16</w:t>
      </w:r>
      <w:bookmarkStart w:id="0" w:name="_GoBack"/>
      <w:bookmarkEnd w:id="0"/>
    </w:p>
    <w:p w:rsidR="005C0C7F" w:rsidRDefault="005C0C7F" w:rsidP="0007162F">
      <w:pPr>
        <w:spacing w:line="360" w:lineRule="auto"/>
        <w:rPr>
          <w:rFonts w:ascii="Times New Roman" w:eastAsia="Times New Roman" w:hAnsi="Times New Roman"/>
          <w:szCs w:val="24"/>
          <w:lang w:eastAsia="es-ES"/>
        </w:rPr>
      </w:pPr>
    </w:p>
    <w:p w:rsidR="000B0B1E" w:rsidRDefault="000B0B1E" w:rsidP="000B0B1E">
      <w:pPr>
        <w:spacing w:line="360" w:lineRule="auto"/>
        <w:jc w:val="right"/>
        <w:rPr>
          <w:rFonts w:ascii="Times New Roman" w:eastAsia="Times New Roman" w:hAnsi="Times New Roman"/>
          <w:szCs w:val="24"/>
          <w:lang w:eastAsia="es-ES"/>
        </w:rPr>
      </w:pPr>
    </w:p>
    <w:p w:rsidR="0007162F" w:rsidRDefault="0007162F" w:rsidP="000B0B1E">
      <w:pPr>
        <w:spacing w:line="360" w:lineRule="auto"/>
        <w:jc w:val="right"/>
        <w:rPr>
          <w:rFonts w:ascii="Times New Roman" w:eastAsia="Times New Roman" w:hAnsi="Times New Roman"/>
          <w:szCs w:val="24"/>
          <w:lang w:eastAsia="es-ES"/>
        </w:rPr>
      </w:pPr>
    </w:p>
    <w:p w:rsidR="0007162F" w:rsidRPr="0007162F" w:rsidRDefault="0007162F" w:rsidP="0007162F">
      <w:pPr>
        <w:spacing w:line="360" w:lineRule="auto"/>
        <w:jc w:val="center"/>
        <w:rPr>
          <w:rFonts w:ascii="Times New Roman" w:eastAsia="Times New Roman" w:hAnsi="Times New Roman"/>
          <w:b/>
          <w:sz w:val="40"/>
          <w:szCs w:val="24"/>
          <w:lang w:eastAsia="es-ES"/>
        </w:rPr>
      </w:pPr>
      <w:r w:rsidRPr="0007162F">
        <w:rPr>
          <w:rFonts w:ascii="Times New Roman" w:eastAsia="Times New Roman" w:hAnsi="Times New Roman"/>
          <w:b/>
          <w:sz w:val="40"/>
          <w:szCs w:val="24"/>
          <w:lang w:eastAsia="es-ES"/>
        </w:rPr>
        <w:t>Anexo I</w:t>
      </w:r>
    </w:p>
    <w:p w:rsidR="000B0B1E" w:rsidRDefault="000B0B1E" w:rsidP="000B0B1E">
      <w:pPr>
        <w:spacing w:line="360" w:lineRule="auto"/>
        <w:jc w:val="right"/>
        <w:rPr>
          <w:rFonts w:ascii="Times New Roman" w:eastAsia="Times New Roman" w:hAnsi="Times New Roman"/>
          <w:szCs w:val="24"/>
          <w:lang w:eastAsia="es-ES"/>
        </w:rPr>
      </w:pPr>
      <w:r w:rsidRPr="00A71A19">
        <w:rPr>
          <w:rFonts w:ascii="Times New Roman" w:eastAsia="Times New Roman" w:hAnsi="Times New Roman"/>
          <w:szCs w:val="24"/>
          <w:lang w:eastAsia="es-ES"/>
        </w:rPr>
        <w:t>Tanti,</w:t>
      </w:r>
      <w:r>
        <w:rPr>
          <w:rFonts w:ascii="Times New Roman" w:eastAsia="Times New Roman" w:hAnsi="Times New Roman"/>
          <w:szCs w:val="24"/>
          <w:lang w:eastAsia="es-ES"/>
        </w:rPr>
        <w:t xml:space="preserve"> </w:t>
      </w:r>
      <w:r w:rsidRPr="00A71A19">
        <w:rPr>
          <w:rFonts w:ascii="Times New Roman" w:eastAsia="Times New Roman" w:hAnsi="Times New Roman"/>
          <w:szCs w:val="24"/>
          <w:lang w:eastAsia="es-ES"/>
        </w:rPr>
        <w:t>2  de Junio de 2025</w:t>
      </w:r>
    </w:p>
    <w:p w:rsidR="000B0B1E" w:rsidRPr="00EF5C97" w:rsidRDefault="000B0B1E" w:rsidP="000B0B1E">
      <w:pPr>
        <w:spacing w:line="360" w:lineRule="auto"/>
        <w:jc w:val="right"/>
        <w:rPr>
          <w:rFonts w:eastAsia="Times New Roman"/>
          <w:szCs w:val="24"/>
          <w:lang w:eastAsia="es-ES"/>
        </w:rPr>
      </w:pPr>
    </w:p>
    <w:p w:rsidR="000B0B1E" w:rsidRPr="000B0B1E" w:rsidRDefault="000B0B1E" w:rsidP="000B0B1E">
      <w:pPr>
        <w:spacing w:after="200" w:line="360" w:lineRule="auto"/>
        <w:ind w:firstLine="708"/>
        <w:jc w:val="center"/>
        <w:rPr>
          <w:rFonts w:ascii="Times New Roman" w:eastAsia="Times New Roman" w:hAnsi="Times New Roman"/>
          <w:b/>
          <w:bCs/>
          <w:sz w:val="28"/>
          <w:szCs w:val="28"/>
          <w:lang w:eastAsia="es-ES"/>
        </w:rPr>
      </w:pPr>
      <w:r w:rsidRPr="000B0B1E">
        <w:rPr>
          <w:rFonts w:ascii="Times New Roman" w:eastAsia="Times New Roman" w:hAnsi="Times New Roman"/>
          <w:b/>
          <w:bCs/>
          <w:sz w:val="28"/>
          <w:szCs w:val="28"/>
          <w:lang w:eastAsia="es-ES"/>
        </w:rPr>
        <w:t>DECRETO Nº 01/25</w:t>
      </w:r>
    </w:p>
    <w:p w:rsidR="000B0B1E" w:rsidRPr="000B0B1E" w:rsidRDefault="000B0B1E" w:rsidP="000B0B1E">
      <w:pPr>
        <w:spacing w:line="360" w:lineRule="auto"/>
        <w:jc w:val="both"/>
        <w:rPr>
          <w:rFonts w:ascii="Times New Roman" w:eastAsia="Times New Roman" w:hAnsi="Times New Roman"/>
          <w:sz w:val="28"/>
          <w:szCs w:val="28"/>
          <w:lang w:eastAsia="es-ES"/>
        </w:rPr>
      </w:pPr>
      <w:r w:rsidRPr="000B0B1E">
        <w:rPr>
          <w:rFonts w:ascii="Times New Roman" w:eastAsia="Times New Roman" w:hAnsi="Times New Roman"/>
          <w:sz w:val="28"/>
          <w:szCs w:val="28"/>
          <w:lang w:eastAsia="es-ES"/>
        </w:rPr>
        <w:t xml:space="preserve"> </w:t>
      </w:r>
      <w:r w:rsidRPr="000B0B1E">
        <w:rPr>
          <w:rFonts w:ascii="Times New Roman" w:eastAsia="Times New Roman" w:hAnsi="Times New Roman"/>
          <w:sz w:val="28"/>
          <w:szCs w:val="28"/>
          <w:lang w:eastAsia="es-ES"/>
        </w:rPr>
        <w:tab/>
      </w:r>
      <w:r w:rsidRPr="000B0B1E">
        <w:rPr>
          <w:rFonts w:ascii="Times New Roman" w:eastAsia="Times New Roman" w:hAnsi="Times New Roman"/>
          <w:b/>
          <w:sz w:val="28"/>
          <w:szCs w:val="28"/>
          <w:lang w:eastAsia="es-ES"/>
        </w:rPr>
        <w:t>VISTO</w:t>
      </w:r>
      <w:r w:rsidRPr="000B0B1E">
        <w:rPr>
          <w:rFonts w:ascii="Times New Roman" w:eastAsia="Times New Roman" w:hAnsi="Times New Roman"/>
          <w:sz w:val="28"/>
          <w:szCs w:val="28"/>
          <w:lang w:eastAsia="es-ES"/>
        </w:rPr>
        <w:t xml:space="preserve">: </w:t>
      </w:r>
    </w:p>
    <w:p w:rsidR="000B0B1E" w:rsidRPr="000B0B1E" w:rsidRDefault="000B0B1E" w:rsidP="000B0B1E">
      <w:pPr>
        <w:spacing w:line="360" w:lineRule="auto"/>
        <w:ind w:firstLine="708"/>
        <w:jc w:val="both"/>
        <w:rPr>
          <w:rFonts w:ascii="Times New Roman" w:eastAsia="Times New Roman" w:hAnsi="Times New Roman"/>
          <w:sz w:val="28"/>
          <w:szCs w:val="28"/>
          <w:lang w:eastAsia="es-ES"/>
        </w:rPr>
      </w:pPr>
      <w:r w:rsidRPr="000B0B1E">
        <w:rPr>
          <w:rFonts w:ascii="Times New Roman" w:eastAsia="Times New Roman" w:hAnsi="Times New Roman"/>
          <w:sz w:val="28"/>
          <w:szCs w:val="28"/>
          <w:lang w:eastAsia="es-ES"/>
        </w:rPr>
        <w:t xml:space="preserve">El Recurso de Reconsideración interpuesto por </w:t>
      </w:r>
      <w:r w:rsidRPr="000B0B1E">
        <w:rPr>
          <w:rFonts w:ascii="Times New Roman" w:hAnsi="Times New Roman"/>
          <w:bCs/>
          <w:sz w:val="28"/>
          <w:szCs w:val="28"/>
        </w:rPr>
        <w:t xml:space="preserve">los Concejales Lucio Alberto LOPEZ </w:t>
      </w:r>
      <w:r w:rsidRPr="000B0B1E">
        <w:rPr>
          <w:rFonts w:ascii="Times New Roman" w:hAnsi="Times New Roman"/>
          <w:sz w:val="28"/>
          <w:szCs w:val="28"/>
        </w:rPr>
        <w:t>y Marcela Edith SUAREZ</w:t>
      </w:r>
      <w:r w:rsidRPr="000B0B1E">
        <w:rPr>
          <w:rFonts w:ascii="Times New Roman" w:hAnsi="Times New Roman"/>
          <w:color w:val="000000"/>
          <w:sz w:val="28"/>
          <w:szCs w:val="28"/>
        </w:rPr>
        <w:t>,</w:t>
      </w:r>
      <w:r w:rsidRPr="000B0B1E">
        <w:rPr>
          <w:rFonts w:ascii="Times New Roman" w:hAnsi="Times New Roman"/>
          <w:sz w:val="28"/>
          <w:szCs w:val="28"/>
        </w:rPr>
        <w:t xml:space="preserve"> </w:t>
      </w:r>
      <w:r w:rsidRPr="000B0B1E">
        <w:rPr>
          <w:rFonts w:ascii="Times New Roman" w:eastAsia="Times New Roman" w:hAnsi="Times New Roman"/>
          <w:sz w:val="28"/>
          <w:szCs w:val="28"/>
          <w:lang w:eastAsia="es-ES"/>
        </w:rPr>
        <w:t xml:space="preserve">en contra del decisorio de fecha 09/04/2025, </w:t>
      </w:r>
    </w:p>
    <w:p w:rsidR="000B0B1E" w:rsidRPr="000B0B1E" w:rsidRDefault="000B0B1E" w:rsidP="000B0B1E">
      <w:pPr>
        <w:spacing w:line="360" w:lineRule="auto"/>
        <w:ind w:firstLine="708"/>
        <w:jc w:val="both"/>
        <w:rPr>
          <w:rFonts w:ascii="Times New Roman" w:eastAsia="Times New Roman" w:hAnsi="Times New Roman"/>
          <w:sz w:val="28"/>
          <w:szCs w:val="28"/>
          <w:lang w:eastAsia="es-ES"/>
        </w:rPr>
      </w:pPr>
      <w:r w:rsidRPr="000B0B1E">
        <w:rPr>
          <w:rFonts w:ascii="Times New Roman" w:eastAsia="Times New Roman" w:hAnsi="Times New Roman"/>
          <w:b/>
          <w:sz w:val="28"/>
          <w:szCs w:val="28"/>
          <w:lang w:eastAsia="es-ES"/>
        </w:rPr>
        <w:t>Y CONSIDERANDO:</w:t>
      </w:r>
      <w:r w:rsidRPr="000B0B1E">
        <w:rPr>
          <w:rFonts w:ascii="Times New Roman" w:eastAsia="Times New Roman" w:hAnsi="Times New Roman"/>
          <w:sz w:val="28"/>
          <w:szCs w:val="28"/>
          <w:lang w:eastAsia="es-ES"/>
        </w:rPr>
        <w:t xml:space="preserve">  </w:t>
      </w:r>
    </w:p>
    <w:p w:rsidR="000B0B1E" w:rsidRPr="000B0B1E" w:rsidRDefault="000B0B1E" w:rsidP="000B0B1E">
      <w:pPr>
        <w:pStyle w:val="NormalWeb"/>
        <w:spacing w:line="360" w:lineRule="auto"/>
        <w:ind w:firstLine="708"/>
        <w:jc w:val="both"/>
        <w:rPr>
          <w:bCs/>
          <w:sz w:val="28"/>
          <w:szCs w:val="28"/>
        </w:rPr>
      </w:pPr>
      <w:r w:rsidRPr="000B0B1E">
        <w:rPr>
          <w:sz w:val="28"/>
          <w:szCs w:val="28"/>
          <w:lang w:eastAsia="es-ES"/>
        </w:rPr>
        <w:t>Que mediante decisorio de fecha 09/04/2025 se dispuso el rechazo al reclamo administrativo</w:t>
      </w:r>
      <w:r w:rsidRPr="000B0B1E">
        <w:rPr>
          <w:bCs/>
          <w:sz w:val="28"/>
          <w:szCs w:val="28"/>
        </w:rPr>
        <w:t xml:space="preserve"> presentado por los Concejales LOPEZ y SUAREZ relacionados con descuento del gasto de representación por inasistencia a Sesión Ordinaria del día 5 de Marzo del cte. año.</w:t>
      </w:r>
    </w:p>
    <w:p w:rsidR="000B0B1E" w:rsidRPr="000B0B1E" w:rsidRDefault="000B0B1E" w:rsidP="000B0B1E">
      <w:pPr>
        <w:spacing w:line="360" w:lineRule="auto"/>
        <w:ind w:firstLine="708"/>
        <w:jc w:val="both"/>
        <w:rPr>
          <w:rFonts w:ascii="Times New Roman" w:hAnsi="Times New Roman"/>
          <w:sz w:val="28"/>
          <w:szCs w:val="28"/>
        </w:rPr>
      </w:pPr>
      <w:r w:rsidRPr="000B0B1E">
        <w:rPr>
          <w:rFonts w:ascii="Times New Roman" w:hAnsi="Times New Roman"/>
          <w:bCs/>
          <w:sz w:val="28"/>
          <w:szCs w:val="28"/>
        </w:rPr>
        <w:t>Que, en tal oportunidad esta Presidencia respondió que: “</w:t>
      </w:r>
      <w:r w:rsidRPr="000B0B1E">
        <w:rPr>
          <w:rFonts w:ascii="Times New Roman" w:hAnsi="Times New Roman"/>
          <w:i/>
          <w:iCs/>
          <w:sz w:val="28"/>
          <w:szCs w:val="28"/>
        </w:rPr>
        <w:t>Sin perjuicio de ello, cabe destacar que la Sesión del día 5 de Marzo, en una sesión con gran concurrencia de vecinos, ha sido público y notorio vuestra ausencia por lo que NO corresponde el pago de la dieta, no solo por estar reñido con el orden jurídico vigente sino con una cuestión ética que debemos observar quienes ocupamos cargos públicos. No podemos pretender un pago de una tarea que no cumplimos</w:t>
      </w:r>
      <w:proofErr w:type="gramStart"/>
      <w:r w:rsidRPr="000B0B1E">
        <w:rPr>
          <w:rFonts w:ascii="Times New Roman" w:hAnsi="Times New Roman"/>
          <w:sz w:val="28"/>
          <w:szCs w:val="28"/>
        </w:rPr>
        <w:t>..”</w:t>
      </w:r>
      <w:proofErr w:type="gramEnd"/>
      <w:r w:rsidRPr="000B0B1E">
        <w:rPr>
          <w:rFonts w:ascii="Times New Roman" w:hAnsi="Times New Roman"/>
          <w:sz w:val="28"/>
          <w:szCs w:val="28"/>
        </w:rPr>
        <w:t>.</w:t>
      </w:r>
    </w:p>
    <w:p w:rsidR="000B0B1E" w:rsidRPr="000B0B1E" w:rsidRDefault="000B0B1E" w:rsidP="000B0B1E">
      <w:pPr>
        <w:spacing w:line="360" w:lineRule="auto"/>
        <w:ind w:firstLine="708"/>
        <w:jc w:val="both"/>
        <w:rPr>
          <w:rFonts w:ascii="Times New Roman" w:hAnsi="Times New Roman"/>
          <w:sz w:val="28"/>
          <w:szCs w:val="28"/>
        </w:rPr>
      </w:pPr>
      <w:r w:rsidRPr="000B0B1E">
        <w:rPr>
          <w:rFonts w:ascii="Times New Roman" w:hAnsi="Times New Roman"/>
          <w:sz w:val="28"/>
          <w:szCs w:val="28"/>
        </w:rPr>
        <w:t xml:space="preserve">Que, contra el acto administrativo de fecha </w:t>
      </w:r>
      <w:r w:rsidRPr="000B0B1E">
        <w:rPr>
          <w:rFonts w:ascii="Times New Roman" w:eastAsia="Times New Roman" w:hAnsi="Times New Roman"/>
          <w:sz w:val="28"/>
          <w:szCs w:val="28"/>
          <w:lang w:eastAsia="es-ES"/>
        </w:rPr>
        <w:t>09/04/2025</w:t>
      </w:r>
      <w:r w:rsidRPr="000B0B1E">
        <w:rPr>
          <w:rFonts w:ascii="Times New Roman" w:hAnsi="Times New Roman"/>
          <w:sz w:val="28"/>
          <w:szCs w:val="28"/>
        </w:rPr>
        <w:t>, los Concejales interpusieron con fecha 14/04/2025 el correspondiente Recurso de Reconsideración.</w:t>
      </w:r>
    </w:p>
    <w:p w:rsidR="000B0B1E" w:rsidRPr="000B0B1E" w:rsidRDefault="000B0B1E" w:rsidP="000B0B1E">
      <w:pPr>
        <w:spacing w:line="360" w:lineRule="auto"/>
        <w:ind w:firstLine="708"/>
        <w:jc w:val="both"/>
        <w:rPr>
          <w:rFonts w:ascii="Times New Roman" w:hAnsi="Times New Roman"/>
          <w:sz w:val="28"/>
          <w:szCs w:val="28"/>
        </w:rPr>
      </w:pPr>
      <w:r w:rsidRPr="000B0B1E">
        <w:rPr>
          <w:rFonts w:ascii="Times New Roman" w:hAnsi="Times New Roman"/>
          <w:sz w:val="28"/>
          <w:szCs w:val="28"/>
        </w:rPr>
        <w:t xml:space="preserve">Que, cabe precisar, que el Recurso de ha sido interpuesto en tiempo y forma, en los términos previsto por el Art. 231 de la Ley 8102 y el Art. 80 Ley de Procedimiento Administrativo N° 5350. Ambas leyes disponen que el recurso de reconsideración deberá interponerse por escrito y fundadamente dentro del plazo de diez (10) días siguientes a la notificación por ante esta misma autoridad que lo dictó. </w:t>
      </w:r>
    </w:p>
    <w:p w:rsidR="000B0B1E" w:rsidRPr="000B0B1E" w:rsidRDefault="000B0B1E" w:rsidP="000B0B1E">
      <w:pPr>
        <w:spacing w:line="360" w:lineRule="auto"/>
        <w:ind w:firstLine="708"/>
        <w:jc w:val="both"/>
        <w:rPr>
          <w:rFonts w:ascii="Times New Roman" w:hAnsi="Times New Roman"/>
          <w:sz w:val="28"/>
          <w:szCs w:val="28"/>
        </w:rPr>
      </w:pPr>
      <w:r w:rsidRPr="000B0B1E">
        <w:rPr>
          <w:rFonts w:ascii="Times New Roman" w:hAnsi="Times New Roman"/>
          <w:sz w:val="28"/>
          <w:szCs w:val="28"/>
        </w:rPr>
        <w:t xml:space="preserve">Que, en consecuencia, corresponde ingresar al tratamiento de los agravios expresados por los quejosos. En tal sentido, se agravian argumentando que el </w:t>
      </w:r>
      <w:r w:rsidRPr="000B0B1E">
        <w:rPr>
          <w:rFonts w:ascii="Times New Roman" w:hAnsi="Times New Roman"/>
          <w:sz w:val="28"/>
          <w:szCs w:val="28"/>
        </w:rPr>
        <w:lastRenderedPageBreak/>
        <w:t>decisorio es equivocado, citando de forma dogmáticas Artículos de la Constitución Provincial y Nacional y de la Ley Orgánica Municipal. En resumen, la queja pasa por entender que gasto de representación no equivale a dieta en los términos del Art. 27 de la Ley Orgánica Municipal y que el Concejo Deliberante puede sancionar Ordenanzas como lo son las Ordenanzas N° 1432 y 1491, regulando en sentido distinto a lo fijado por la ley provincial. A su vez manifiestan que no se trató de una sesión ordinaria sino especial.</w:t>
      </w:r>
    </w:p>
    <w:p w:rsidR="000B0B1E" w:rsidRPr="000B0B1E" w:rsidRDefault="000B0B1E" w:rsidP="000B0B1E">
      <w:pPr>
        <w:spacing w:line="360" w:lineRule="auto"/>
        <w:ind w:firstLine="708"/>
        <w:jc w:val="both"/>
        <w:rPr>
          <w:rFonts w:ascii="Times New Roman" w:eastAsia="Times New Roman" w:hAnsi="Times New Roman"/>
          <w:sz w:val="28"/>
          <w:szCs w:val="28"/>
          <w:lang w:eastAsia="es-ES"/>
        </w:rPr>
      </w:pPr>
      <w:r w:rsidRPr="000B0B1E">
        <w:rPr>
          <w:rFonts w:ascii="Times New Roman" w:hAnsi="Times New Roman"/>
          <w:sz w:val="28"/>
          <w:szCs w:val="28"/>
        </w:rPr>
        <w:t xml:space="preserve"> </w:t>
      </w:r>
      <w:r w:rsidRPr="000B0B1E">
        <w:rPr>
          <w:rFonts w:ascii="Times New Roman" w:eastAsia="Times New Roman" w:hAnsi="Times New Roman"/>
          <w:sz w:val="28"/>
          <w:szCs w:val="28"/>
          <w:lang w:eastAsia="es-ES"/>
        </w:rPr>
        <w:t xml:space="preserve">Que, entrando a la ponderación en lo eminentemente sustancial, adelanto que corresponde su rechazo, ya que del repaso detenido de los fundamentos esgrimidos por los recurrentes no se advierte motivo alguno para apartarse de lo oportunamente decidido por el acto administrativo en crisis, en tanto no se han desvirtuado en modo alguno las afirmaciones referidas en el mismo. </w:t>
      </w:r>
    </w:p>
    <w:p w:rsidR="000B0B1E" w:rsidRPr="000B0B1E" w:rsidRDefault="000B0B1E" w:rsidP="000B0B1E">
      <w:pPr>
        <w:spacing w:line="360" w:lineRule="auto"/>
        <w:ind w:firstLine="708"/>
        <w:jc w:val="both"/>
        <w:rPr>
          <w:rFonts w:ascii="Times New Roman" w:hAnsi="Times New Roman"/>
          <w:bCs/>
          <w:sz w:val="28"/>
          <w:szCs w:val="28"/>
        </w:rPr>
      </w:pPr>
      <w:r w:rsidRPr="000B0B1E">
        <w:rPr>
          <w:rFonts w:ascii="Times New Roman" w:eastAsia="Times New Roman" w:hAnsi="Times New Roman"/>
          <w:sz w:val="28"/>
          <w:szCs w:val="28"/>
          <w:lang w:eastAsia="es-ES"/>
        </w:rPr>
        <w:t xml:space="preserve">Que, en primer término, si bien las Ordenanzas N° </w:t>
      </w:r>
      <w:r w:rsidRPr="000B0B1E">
        <w:rPr>
          <w:rFonts w:ascii="Times New Roman" w:hAnsi="Times New Roman"/>
          <w:sz w:val="28"/>
          <w:szCs w:val="28"/>
        </w:rPr>
        <w:t xml:space="preserve">1432 y 1491 hablan de “gasto de representación” los que perciben mensualmente los Sres. Concejales de Tanti, evidentemente que se trata de una remuneración, un sueldo, de una dieta en los términos del Art. 27 de la Ley 8102. Sino como podría explicarse que los Sres. Concejales perciban un emolumento de Pesos Ochocientos Noventa y Dos Mil Setecientos Sesenta y Uno ($ 892.761). Cabe preguntarse: </w:t>
      </w:r>
      <w:r w:rsidRPr="000B0B1E">
        <w:rPr>
          <w:rFonts w:ascii="Times New Roman" w:hAnsi="Times New Roman"/>
          <w:b/>
          <w:bCs/>
          <w:sz w:val="28"/>
          <w:szCs w:val="28"/>
        </w:rPr>
        <w:t>¿QUE GASTO DE REPRESENTACIÓN HAN TENIDO EN EL MES DE MARZO? ¿A QUÉ LUGAR CONCURRIERON FUERA O DENTRO DE TANTI QUE HAYA SIGNIFICADO SEMEJANTE GASTO?</w:t>
      </w:r>
      <w:r w:rsidRPr="000B0B1E">
        <w:rPr>
          <w:rFonts w:ascii="Times New Roman" w:hAnsi="Times New Roman"/>
          <w:sz w:val="28"/>
          <w:szCs w:val="28"/>
        </w:rPr>
        <w:t xml:space="preserve"> Cabe destacar que se trata de una pequeña comunidad que no requiere grandes esfuerzos de viaje desde los domicilios particulares de los Sres. Concejales a la Sede del Concejo y que ello implique gastos de combustibles por la suma de $ 892.761 en forma mensual, máxime cuando la concurrencia al recinto es una sola vez por semana. </w:t>
      </w:r>
      <w:r w:rsidRPr="000B0B1E">
        <w:rPr>
          <w:rFonts w:ascii="Times New Roman" w:hAnsi="Times New Roman"/>
          <w:b/>
          <w:bCs/>
          <w:sz w:val="28"/>
          <w:szCs w:val="28"/>
          <w:u w:val="single"/>
        </w:rPr>
        <w:t>¿Dónde está el gasto?</w:t>
      </w:r>
      <w:r w:rsidRPr="000B0B1E">
        <w:rPr>
          <w:rFonts w:ascii="Times New Roman" w:hAnsi="Times New Roman"/>
          <w:sz w:val="28"/>
          <w:szCs w:val="28"/>
        </w:rPr>
        <w:t xml:space="preserve"> </w:t>
      </w:r>
      <w:r w:rsidRPr="000B0B1E">
        <w:rPr>
          <w:rFonts w:ascii="Times New Roman" w:hAnsi="Times New Roman"/>
          <w:b/>
          <w:bCs/>
          <w:sz w:val="28"/>
          <w:szCs w:val="28"/>
        </w:rPr>
        <w:t>NUNCA LO PODRÁN ACREDITAR</w:t>
      </w:r>
      <w:r w:rsidRPr="000B0B1E">
        <w:rPr>
          <w:rFonts w:ascii="Times New Roman" w:hAnsi="Times New Roman"/>
          <w:sz w:val="28"/>
          <w:szCs w:val="28"/>
        </w:rPr>
        <w:t xml:space="preserve"> (ni en ropa, ni en combustible, ni en comida, etc.). Por ende, lisa y llanamente se trata de un </w:t>
      </w:r>
      <w:r w:rsidRPr="000B0B1E">
        <w:rPr>
          <w:rFonts w:ascii="Times New Roman" w:hAnsi="Times New Roman"/>
          <w:sz w:val="28"/>
          <w:szCs w:val="28"/>
          <w:u w:val="single"/>
        </w:rPr>
        <w:t>sueldo, de una dieta</w:t>
      </w:r>
      <w:r w:rsidRPr="000B0B1E">
        <w:rPr>
          <w:rFonts w:ascii="Times New Roman" w:hAnsi="Times New Roman"/>
          <w:sz w:val="28"/>
          <w:szCs w:val="28"/>
        </w:rPr>
        <w:t xml:space="preserve">. Tal es ese el concepto “remuneración por las tareas realizadas como Concejales” que en cada aumento de sueldo de los Empleados y Funcionarios de la Municipalidad de Tanti, va sumado el aumento de sueldo para los Concejales (véase Ordenanzas </w:t>
      </w:r>
      <w:r w:rsidRPr="000B0B1E">
        <w:rPr>
          <w:rFonts w:ascii="Times New Roman" w:hAnsi="Times New Roman"/>
          <w:b/>
          <w:sz w:val="28"/>
          <w:szCs w:val="28"/>
        </w:rPr>
        <w:t xml:space="preserve">1451/24 </w:t>
      </w:r>
      <w:r w:rsidRPr="000B0B1E">
        <w:rPr>
          <w:rFonts w:ascii="Times New Roman" w:hAnsi="Times New Roman"/>
          <w:bCs/>
          <w:i/>
          <w:iCs/>
          <w:sz w:val="28"/>
          <w:szCs w:val="28"/>
        </w:rPr>
        <w:t xml:space="preserve">Artículo 1º: AUTORÍCESE al Departamento Ejecutivo Municipal a otorgar un incremento salarial para los dependientes de la Administración Municipal – Agentes Planta Permanente, Contratados y Funcionarios - </w:t>
      </w:r>
      <w:r w:rsidRPr="000B0B1E">
        <w:rPr>
          <w:rFonts w:ascii="Times New Roman" w:hAnsi="Times New Roman"/>
          <w:bCs/>
          <w:i/>
          <w:iCs/>
          <w:sz w:val="28"/>
          <w:szCs w:val="28"/>
        </w:rPr>
        <w:lastRenderedPageBreak/>
        <w:t xml:space="preserve">consistente en el equivalente al trece por ciento (13%) a partir del mes de Marzo del cte. año, sobre el sueldo básico. Artículo 2º: DISPÓNGASE un incremento del trece por ciento (13%) partir del mes de Marzo </w:t>
      </w:r>
      <w:proofErr w:type="gramStart"/>
      <w:r w:rsidRPr="000B0B1E">
        <w:rPr>
          <w:rFonts w:ascii="Times New Roman" w:hAnsi="Times New Roman"/>
          <w:bCs/>
          <w:i/>
          <w:iCs/>
          <w:sz w:val="28"/>
          <w:szCs w:val="28"/>
        </w:rPr>
        <w:t>del</w:t>
      </w:r>
      <w:proofErr w:type="gramEnd"/>
      <w:r w:rsidRPr="000B0B1E">
        <w:rPr>
          <w:rFonts w:ascii="Times New Roman" w:hAnsi="Times New Roman"/>
          <w:bCs/>
          <w:i/>
          <w:iCs/>
          <w:sz w:val="28"/>
          <w:szCs w:val="28"/>
        </w:rPr>
        <w:t xml:space="preserve"> cte. año en el Gasto de Representación que perciben los Concejales y Miembros del Tribunal de Cuentas Municipal.</w:t>
      </w:r>
      <w:r w:rsidRPr="000B0B1E">
        <w:rPr>
          <w:rFonts w:ascii="Times New Roman" w:hAnsi="Times New Roman"/>
          <w:b/>
          <w:sz w:val="28"/>
          <w:szCs w:val="28"/>
        </w:rPr>
        <w:t xml:space="preserve"> N° 1464/24 </w:t>
      </w:r>
      <w:r w:rsidRPr="000B0B1E">
        <w:rPr>
          <w:rFonts w:ascii="Times New Roman" w:hAnsi="Times New Roman"/>
          <w:bCs/>
          <w:i/>
          <w:iCs/>
          <w:sz w:val="28"/>
          <w:szCs w:val="28"/>
          <w:u w:val="single"/>
        </w:rPr>
        <w:t>Artículo 1º</w:t>
      </w:r>
      <w:r w:rsidRPr="000B0B1E">
        <w:rPr>
          <w:rFonts w:ascii="Times New Roman" w:hAnsi="Times New Roman"/>
          <w:bCs/>
          <w:i/>
          <w:iCs/>
          <w:sz w:val="28"/>
          <w:szCs w:val="28"/>
        </w:rPr>
        <w:t xml:space="preserve">: AUTORÍZASE al Departamento Ejecutivo Municipal a otorgar un incremento salarial para los dependientes de la Administración Municipal – Agentes Planta Permanente, Contratados y Directores - consistente en el equivalente al quince por ciento (15%) a partir del mes de Mayo </w:t>
      </w:r>
      <w:proofErr w:type="gramStart"/>
      <w:r w:rsidRPr="000B0B1E">
        <w:rPr>
          <w:rFonts w:ascii="Times New Roman" w:hAnsi="Times New Roman"/>
          <w:bCs/>
          <w:i/>
          <w:iCs/>
          <w:sz w:val="28"/>
          <w:szCs w:val="28"/>
        </w:rPr>
        <w:t>del</w:t>
      </w:r>
      <w:proofErr w:type="gramEnd"/>
      <w:r w:rsidRPr="000B0B1E">
        <w:rPr>
          <w:rFonts w:ascii="Times New Roman" w:hAnsi="Times New Roman"/>
          <w:bCs/>
          <w:i/>
          <w:iCs/>
          <w:sz w:val="28"/>
          <w:szCs w:val="28"/>
        </w:rPr>
        <w:t xml:space="preserve"> cte. año, sobre el sueldo básico. </w:t>
      </w:r>
      <w:r w:rsidRPr="000B0B1E">
        <w:rPr>
          <w:rFonts w:ascii="Times New Roman" w:hAnsi="Times New Roman"/>
          <w:bCs/>
          <w:i/>
          <w:iCs/>
          <w:sz w:val="28"/>
          <w:szCs w:val="28"/>
          <w:u w:val="single"/>
        </w:rPr>
        <w:t>Artículo 2º</w:t>
      </w:r>
      <w:r w:rsidRPr="000B0B1E">
        <w:rPr>
          <w:rFonts w:ascii="Times New Roman" w:hAnsi="Times New Roman"/>
          <w:bCs/>
          <w:i/>
          <w:iCs/>
          <w:sz w:val="28"/>
          <w:szCs w:val="28"/>
        </w:rPr>
        <w:t>: DISPÓNGASE que el incremento previsto en el artículo anterior no comprende el Gasto de Representación que perciben los Concejales, Miembros del Tribunal de Cuentas Municipal y Departamento Ejecutivo Municipal</w:t>
      </w:r>
      <w:r w:rsidRPr="000B0B1E">
        <w:rPr>
          <w:rFonts w:ascii="Times New Roman" w:hAnsi="Times New Roman"/>
          <w:b/>
          <w:sz w:val="28"/>
          <w:szCs w:val="28"/>
        </w:rPr>
        <w:t xml:space="preserve">. N° 1481/24 </w:t>
      </w:r>
      <w:r w:rsidRPr="000B0B1E">
        <w:rPr>
          <w:rFonts w:ascii="Times New Roman" w:hAnsi="Times New Roman"/>
          <w:bCs/>
          <w:i/>
          <w:iCs/>
          <w:sz w:val="28"/>
          <w:szCs w:val="28"/>
          <w:u w:val="single"/>
        </w:rPr>
        <w:t>Artículo 1º</w:t>
      </w:r>
      <w:r w:rsidRPr="000B0B1E">
        <w:rPr>
          <w:rFonts w:ascii="Times New Roman" w:hAnsi="Times New Roman"/>
          <w:bCs/>
          <w:i/>
          <w:iCs/>
          <w:sz w:val="28"/>
          <w:szCs w:val="28"/>
        </w:rPr>
        <w:t xml:space="preserve">: AUTORÍZASE al Departamento Ejecutivo Municipal a otorgar un incremento salarial para los dependientes de la Administración Municipal – Agentes Planta Permanente, Contratados y Funcionarios - consistente en el equivalente al diez por ciento (10%) a partir del mes de Julio del cte. año, sobre el sueldo básico. </w:t>
      </w:r>
      <w:r w:rsidRPr="000B0B1E">
        <w:rPr>
          <w:rFonts w:ascii="Times New Roman" w:hAnsi="Times New Roman"/>
          <w:bCs/>
          <w:i/>
          <w:iCs/>
          <w:sz w:val="28"/>
          <w:szCs w:val="28"/>
          <w:u w:val="single"/>
        </w:rPr>
        <w:t>Artículo 2º</w:t>
      </w:r>
      <w:r w:rsidRPr="000B0B1E">
        <w:rPr>
          <w:rFonts w:ascii="Times New Roman" w:hAnsi="Times New Roman"/>
          <w:bCs/>
          <w:i/>
          <w:iCs/>
          <w:sz w:val="28"/>
          <w:szCs w:val="28"/>
        </w:rPr>
        <w:t>: DISPÓNGASE un incremento del diez por ciento (10%) a partir del mes de Julio del cte. año en el Gasto de Representación que perciben los Concejales y Miembros del Tribunal de Cuentas Municipal y remuneraciones de los Secretarios de dichos organismos</w:t>
      </w:r>
      <w:r w:rsidRPr="000B0B1E">
        <w:rPr>
          <w:rFonts w:ascii="Times New Roman" w:hAnsi="Times New Roman"/>
          <w:b/>
          <w:sz w:val="28"/>
          <w:szCs w:val="28"/>
        </w:rPr>
        <w:t xml:space="preserve">. N° 1485/24 </w:t>
      </w:r>
      <w:r w:rsidRPr="000B0B1E">
        <w:rPr>
          <w:rFonts w:ascii="Times New Roman" w:hAnsi="Times New Roman"/>
          <w:bCs/>
          <w:i/>
          <w:iCs/>
          <w:sz w:val="28"/>
          <w:szCs w:val="28"/>
        </w:rPr>
        <w:t xml:space="preserve">Artículo 1º: AUTORÍZASE al Departamento Ejecutivo Municipal a otorgar un incremento salarial para los dependientes de la Administración Municipal – Agentes Planta Permanente, Contratados y Funcionarios - consistente en el equivalente al diecisiete y medio por ciento (17.5%) a partir del mes de Septiembre del cte. año, sobre el sueldo básico. Artículo 2º: DISPÓNGASE un incremento del diecisiete y medio por ciento (17.5%) a partir del mes de Septiembre del cte. año en el Gasto de Representación que perciben los Concejales y Miembros del Tribunal de Cuentas Municipal y remuneraciones de los Secretarios de dichos organismos. </w:t>
      </w:r>
      <w:r w:rsidRPr="000B0B1E">
        <w:rPr>
          <w:rFonts w:ascii="Times New Roman" w:hAnsi="Times New Roman"/>
          <w:bCs/>
          <w:sz w:val="28"/>
          <w:szCs w:val="28"/>
        </w:rPr>
        <w:t xml:space="preserve">Y así sucesivamente en las Ordenanzas </w:t>
      </w:r>
      <w:r w:rsidRPr="000B0B1E">
        <w:rPr>
          <w:rFonts w:ascii="Times New Roman" w:hAnsi="Times New Roman"/>
          <w:b/>
          <w:sz w:val="28"/>
          <w:szCs w:val="28"/>
        </w:rPr>
        <w:t>1493/24, 1504/25, 1510/25</w:t>
      </w:r>
      <w:r w:rsidRPr="000B0B1E">
        <w:rPr>
          <w:rFonts w:ascii="Times New Roman" w:hAnsi="Times New Roman"/>
          <w:bCs/>
          <w:sz w:val="28"/>
          <w:szCs w:val="28"/>
        </w:rPr>
        <w:t xml:space="preserve">). Podrá advertirse que no se trata de una cuestión distintas, sino que en forma distinta hubiese sido tratado, </w:t>
      </w:r>
      <w:r w:rsidRPr="000B0B1E">
        <w:rPr>
          <w:rFonts w:ascii="Times New Roman" w:hAnsi="Times New Roman"/>
          <w:bCs/>
          <w:sz w:val="28"/>
          <w:szCs w:val="28"/>
          <w:u w:val="single"/>
        </w:rPr>
        <w:t>pero no</w:t>
      </w:r>
      <w:r w:rsidRPr="000B0B1E">
        <w:rPr>
          <w:rFonts w:ascii="Times New Roman" w:hAnsi="Times New Roman"/>
          <w:bCs/>
          <w:sz w:val="28"/>
          <w:szCs w:val="28"/>
        </w:rPr>
        <w:t xml:space="preserve">: aumento de sueldo para todos – empleados, funcionarios y concejales -. En esta inteligencia, </w:t>
      </w:r>
      <w:r w:rsidRPr="000B0B1E">
        <w:rPr>
          <w:rFonts w:ascii="Times New Roman" w:hAnsi="Times New Roman"/>
          <w:b/>
          <w:sz w:val="28"/>
          <w:szCs w:val="28"/>
        </w:rPr>
        <w:t>gasto de representación</w:t>
      </w:r>
      <w:r w:rsidRPr="000B0B1E">
        <w:rPr>
          <w:rFonts w:ascii="Times New Roman" w:hAnsi="Times New Roman"/>
          <w:bCs/>
          <w:sz w:val="28"/>
          <w:szCs w:val="28"/>
        </w:rPr>
        <w:t xml:space="preserve"> equivale a sueldo, dieta, remuneración, haberes, etc.</w:t>
      </w:r>
    </w:p>
    <w:p w:rsidR="000B0B1E" w:rsidRPr="000B0B1E" w:rsidRDefault="000B0B1E" w:rsidP="000B0B1E">
      <w:pPr>
        <w:spacing w:line="360" w:lineRule="auto"/>
        <w:ind w:firstLine="708"/>
        <w:jc w:val="both"/>
        <w:rPr>
          <w:rFonts w:ascii="Times New Roman" w:hAnsi="Times New Roman"/>
          <w:color w:val="000000"/>
          <w:sz w:val="28"/>
          <w:szCs w:val="28"/>
        </w:rPr>
      </w:pPr>
      <w:r w:rsidRPr="000B0B1E">
        <w:rPr>
          <w:rFonts w:ascii="Times New Roman" w:hAnsi="Times New Roman"/>
          <w:bCs/>
          <w:sz w:val="28"/>
          <w:szCs w:val="28"/>
        </w:rPr>
        <w:lastRenderedPageBreak/>
        <w:t>Que, en segundo término, si bien los Sres. Concejales hacen referencias a normas constitucionales y legislación local, no advierten que el Municipio de Tanti está inserto en un estado federal, lo que implica supremacías o grados. El Municipio se encuentra en tercer grado en ejercicio del poder constituyente y como tal debe respetar las demás legislaciones. Es decir, existe una supremacía a la hora de aplicar el bloque de legalidad vigente (Art. 161 CP). En tal sentido es clara la Ley Orgánica Municipal en su Art. 27°: “</w:t>
      </w:r>
      <w:r w:rsidRPr="000B0B1E">
        <w:rPr>
          <w:rFonts w:ascii="Times New Roman" w:hAnsi="Times New Roman"/>
          <w:i/>
          <w:iCs/>
          <w:color w:val="000000"/>
          <w:sz w:val="28"/>
          <w:szCs w:val="28"/>
        </w:rPr>
        <w:t>Los concejales de las Municipalidades podrán gozar durante el desempeño de su mandato, de una dieta que ellos mismos fijarán por mayoría de dos tercios de sus componentes, la que les será abonada en proporción a su asistencia a las sesiones del Cuerpo y las reuniones de sus comisiones.</w:t>
      </w:r>
      <w:r w:rsidRPr="000B0B1E">
        <w:rPr>
          <w:rFonts w:ascii="Times New Roman" w:hAnsi="Times New Roman"/>
          <w:color w:val="000000"/>
          <w:sz w:val="28"/>
          <w:szCs w:val="28"/>
        </w:rPr>
        <w:t xml:space="preserve"> …”. La ley no distingue entre sesiones especiales u ordinarias o extraordinarias. Naturalmente habla de sesiones. Y la reunión del día </w:t>
      </w:r>
      <w:r w:rsidRPr="000B0B1E">
        <w:rPr>
          <w:rFonts w:ascii="Times New Roman" w:hAnsi="Times New Roman"/>
          <w:b/>
          <w:bCs/>
          <w:color w:val="000000"/>
          <w:sz w:val="28"/>
          <w:szCs w:val="28"/>
          <w:u w:val="single"/>
        </w:rPr>
        <w:t>5 de marzo de 2025 ha sido una sesión</w:t>
      </w:r>
      <w:r w:rsidRPr="000B0B1E">
        <w:rPr>
          <w:rFonts w:ascii="Times New Roman" w:hAnsi="Times New Roman"/>
          <w:color w:val="000000"/>
          <w:sz w:val="28"/>
          <w:szCs w:val="28"/>
        </w:rPr>
        <w:t xml:space="preserve"> del Concejo Deliberante. Pensar que una sesión es más importante que otra, infaliblemente es ajeno al sistema republicano vigente en Tanti. Asimismo, en </w:t>
      </w:r>
      <w:r w:rsidRPr="000B0B1E">
        <w:rPr>
          <w:rFonts w:ascii="Times New Roman" w:hAnsi="Times New Roman"/>
          <w:color w:val="000000"/>
          <w:sz w:val="28"/>
          <w:szCs w:val="28"/>
          <w:u w:val="single"/>
        </w:rPr>
        <w:t>los Art. 20°, 21°, 22°, 42°, 116° la ley 8102</w:t>
      </w:r>
      <w:r w:rsidRPr="000B0B1E">
        <w:rPr>
          <w:rFonts w:ascii="Times New Roman" w:hAnsi="Times New Roman"/>
          <w:color w:val="000000"/>
          <w:sz w:val="28"/>
          <w:szCs w:val="28"/>
        </w:rPr>
        <w:t xml:space="preserve"> regulan los distintos tipos de Sesiones que lleva adelante el Concejo Deliberante (preparatorias, ordinarias, prórroga, extraordinarias, especiales); es decir, que la Ley 8102 cuando ha querido diferenciar tipo de sesiones así lo hizo. Ahora bien, en el Art. 27 </w:t>
      </w:r>
      <w:r w:rsidRPr="000B0B1E">
        <w:rPr>
          <w:rFonts w:ascii="Times New Roman" w:hAnsi="Times New Roman"/>
          <w:b/>
          <w:bCs/>
          <w:color w:val="000000"/>
          <w:sz w:val="28"/>
          <w:szCs w:val="28"/>
        </w:rPr>
        <w:t>NO HA DISTINGUIDO</w:t>
      </w:r>
      <w:r w:rsidRPr="000B0B1E">
        <w:rPr>
          <w:rFonts w:ascii="Times New Roman" w:hAnsi="Times New Roman"/>
          <w:color w:val="000000"/>
          <w:sz w:val="28"/>
          <w:szCs w:val="28"/>
        </w:rPr>
        <w:t xml:space="preserve">. Por lo tanto y haciendo una interpretación armónica de la ley 8102, quedan comprendido en su alcance </w:t>
      </w:r>
      <w:r w:rsidRPr="000B0B1E">
        <w:rPr>
          <w:rFonts w:ascii="Times New Roman" w:hAnsi="Times New Roman"/>
          <w:b/>
          <w:bCs/>
          <w:color w:val="000000"/>
          <w:sz w:val="28"/>
          <w:szCs w:val="28"/>
          <w:u w:val="single"/>
        </w:rPr>
        <w:t>todas las sesiones</w:t>
      </w:r>
      <w:r w:rsidRPr="000B0B1E">
        <w:rPr>
          <w:rFonts w:ascii="Times New Roman" w:hAnsi="Times New Roman"/>
          <w:color w:val="000000"/>
          <w:sz w:val="28"/>
          <w:szCs w:val="28"/>
        </w:rPr>
        <w:t xml:space="preserve"> del Concejo Deliberante de Tanti. </w:t>
      </w:r>
    </w:p>
    <w:p w:rsidR="000B0B1E" w:rsidRPr="000B0B1E" w:rsidRDefault="000B0B1E" w:rsidP="000B0B1E">
      <w:pPr>
        <w:spacing w:line="360" w:lineRule="auto"/>
        <w:ind w:firstLine="708"/>
        <w:jc w:val="both"/>
        <w:rPr>
          <w:rFonts w:ascii="Times New Roman" w:hAnsi="Times New Roman"/>
          <w:sz w:val="28"/>
          <w:szCs w:val="28"/>
        </w:rPr>
      </w:pPr>
      <w:r w:rsidRPr="000B0B1E">
        <w:rPr>
          <w:rFonts w:ascii="Times New Roman" w:hAnsi="Times New Roman"/>
          <w:color w:val="000000"/>
          <w:sz w:val="28"/>
          <w:szCs w:val="28"/>
        </w:rPr>
        <w:t xml:space="preserve">Que, en tercer término, también los Sres. Concejales SUAREZ y LOPEZ obviaron en el repaso del bloque de legalidad vigente, advertir que el Art. 174 de la Constitución Provincial ordena sujetarse al </w:t>
      </w:r>
      <w:r w:rsidRPr="000B0B1E">
        <w:rPr>
          <w:rFonts w:ascii="Times New Roman" w:hAnsi="Times New Roman"/>
          <w:b/>
          <w:bCs/>
          <w:color w:val="000000"/>
          <w:sz w:val="28"/>
          <w:szCs w:val="28"/>
        </w:rPr>
        <w:t>orden jurídico</w:t>
      </w:r>
      <w:r w:rsidRPr="000B0B1E">
        <w:rPr>
          <w:rFonts w:ascii="Times New Roman" w:hAnsi="Times New Roman"/>
          <w:color w:val="000000"/>
          <w:sz w:val="28"/>
          <w:szCs w:val="28"/>
        </w:rPr>
        <w:t xml:space="preserve"> vigente. En este sentido existe por parte de esta Presidencia </w:t>
      </w:r>
      <w:r w:rsidRPr="000B0B1E">
        <w:rPr>
          <w:rFonts w:ascii="Times New Roman" w:hAnsi="Times New Roman"/>
          <w:sz w:val="28"/>
          <w:szCs w:val="28"/>
        </w:rPr>
        <w:t xml:space="preserve">la obligación de sujeción al bloque normativo de todo del ordenamiento jurídico, y no sólo a las Ordenanzas N° 1432 y 1491, o, antes bien, no de sujeción a ésta última aún en los casos en que la misma contradiga clara e indubitablemente normas expresas y puntuales en contrario de las Constituciones Nacional, Provincial o Leyes dictadas en su consecuencia, y, en tal sentido, el acto administrativo que desconociera éstas últimas, habría sido dictado en apartamiento a lo dispuesto por el ordenamiento jurídico y en infracción al art. 93, segundo párrafo de la Ley Nº 6658; esto es, tendría un vicio en la causa o motivación. Por ello, las Ordenanzas N° 1432 y </w:t>
      </w:r>
      <w:r w:rsidRPr="000B0B1E">
        <w:rPr>
          <w:rFonts w:ascii="Times New Roman" w:hAnsi="Times New Roman"/>
          <w:sz w:val="28"/>
          <w:szCs w:val="28"/>
        </w:rPr>
        <w:lastRenderedPageBreak/>
        <w:t>1491 han incurrido en extralimitaciones inconstitucionales al haber sancionado previsiones normativas sobre materia que le corresponde en forma exclusiva a la Provincia, a través de la Ley Orgánica Municipal, lo que sin dudas colisiona contra el diseño dado por la Constitución Provincial que contiene la coexistencia armónicamente los diferentes niveles de gobierno (provincial, municipal y comunal) sobre la premisa fundamental de que los distintos grados de autonomía municipal garantizados no operan en el vacío jurídico, sino en virtud de las propias disposiciones y principios de la Constitución Provincial (arts. 180, 184 y 186, entre otros, en concordancia con los que emanan de la CN, arts. 1, 5 y 123).</w:t>
      </w:r>
    </w:p>
    <w:p w:rsidR="000B0B1E" w:rsidRPr="000B0B1E" w:rsidRDefault="000B0B1E" w:rsidP="000B0B1E">
      <w:pPr>
        <w:spacing w:line="360" w:lineRule="auto"/>
        <w:ind w:firstLine="708"/>
        <w:jc w:val="both"/>
        <w:rPr>
          <w:rFonts w:ascii="Times New Roman" w:hAnsi="Times New Roman"/>
          <w:sz w:val="28"/>
          <w:szCs w:val="28"/>
        </w:rPr>
      </w:pPr>
      <w:r w:rsidRPr="000B0B1E">
        <w:rPr>
          <w:rFonts w:ascii="Times New Roman" w:hAnsi="Times New Roman"/>
          <w:sz w:val="28"/>
          <w:szCs w:val="28"/>
        </w:rPr>
        <w:t>Que en tal comprensión se ha expresado el Concejal LUCIO LOPEZ en oportunidad de interponer acción declarativa de inconstitucionalidad que originaron los autos: “MOJICA, PATRICIA ALEJANDRA Y OTROS (CONCEJALES ELECTOS DEL PARTIDO JUSTICIALISTA DE LA LOCALIDAD DE TANTI) C/MUNICIPALIDAD DE TANTI-ACCIÓN DECLARATIVA DE INCONSTITUCIONALIDAD” (</w:t>
      </w:r>
      <w:proofErr w:type="spellStart"/>
      <w:r w:rsidRPr="000B0B1E">
        <w:rPr>
          <w:rFonts w:ascii="Times New Roman" w:hAnsi="Times New Roman"/>
          <w:sz w:val="28"/>
          <w:szCs w:val="28"/>
        </w:rPr>
        <w:t>expte</w:t>
      </w:r>
      <w:proofErr w:type="spellEnd"/>
      <w:r w:rsidRPr="000B0B1E">
        <w:rPr>
          <w:rFonts w:ascii="Times New Roman" w:hAnsi="Times New Roman"/>
          <w:sz w:val="28"/>
          <w:szCs w:val="28"/>
        </w:rPr>
        <w:t>. n.° 11337920); (invito a la lectura completa del Auto N° 169 del 12/12/2022 dictado por el Tribunal Superior de Justicia), en la que sostuvo, entre otras consideraciones, que: “….</w:t>
      </w:r>
      <w:r w:rsidRPr="000B0B1E">
        <w:rPr>
          <w:rFonts w:ascii="Times New Roman" w:hAnsi="Times New Roman"/>
          <w:i/>
          <w:iCs/>
          <w:sz w:val="28"/>
          <w:szCs w:val="28"/>
        </w:rPr>
        <w:t>De acuerdo con el accionante, como Tanti no posee Carta Orgánica Municipal (COM) propia, se rige por la LOM n.° 8102. Por esta vía, entiende que aquella se ha arrogado atribuciones que le corresponden a la Provincia (CP, arts. 104, inc. 10, y 184), a través de la LOM, sin que en ello pueda verse una transgresión de la autonomía municipal…</w:t>
      </w:r>
      <w:proofErr w:type="gramStart"/>
      <w:r w:rsidRPr="000B0B1E">
        <w:rPr>
          <w:rFonts w:ascii="Times New Roman" w:hAnsi="Times New Roman"/>
          <w:i/>
          <w:iCs/>
          <w:sz w:val="28"/>
          <w:szCs w:val="28"/>
        </w:rPr>
        <w:t>..</w:t>
      </w:r>
      <w:proofErr w:type="gramEnd"/>
      <w:r w:rsidRPr="000B0B1E">
        <w:rPr>
          <w:rFonts w:ascii="Times New Roman" w:hAnsi="Times New Roman"/>
          <w:i/>
          <w:iCs/>
          <w:sz w:val="28"/>
          <w:szCs w:val="28"/>
        </w:rPr>
        <w:t xml:space="preserve"> No le asiste razón al intendente de Tanti. El problema radica en la inadecuada reconstrucción que efectúa de las bases constitucionales en las que se encuentra inmersa y funciona la autonomía municipal. Precisamente, como esta no opera en el vacío -como ningún nivel de gobierno ni rama del poder-, dichos presupuestos, establecidos en la CN y en la CP, determinan su alcance, manifestaciones, modalidades y posibilidades de desarrollo, para que las atribuciones que en virtud de ella se les reconocen a los municipios no se superpongan -por ejemplo- con las de la Provincia…….. Desde ese punto de vista, el error conceptual del que parte el Sr. Azar es que en Córdoba existiría un único tipo de municipio, con competencias rayanas en lo absoluto en todos los órdenes. En cambio, los otros municipios -como el de Tanti- no pueden desarrollar su vida institucional al </w:t>
      </w:r>
      <w:r w:rsidRPr="000B0B1E">
        <w:rPr>
          <w:rFonts w:ascii="Times New Roman" w:hAnsi="Times New Roman"/>
          <w:i/>
          <w:iCs/>
          <w:sz w:val="28"/>
          <w:szCs w:val="28"/>
        </w:rPr>
        <w:lastRenderedPageBreak/>
        <w:t xml:space="preserve">margen o con prescindencia de la LOM, que es la que mediatiza y canaliza las bases, contenidos y principios constitucionales sobre la materia. He allí la gran significación institucional de la LOM, que no puede discutirse sin poner en tela de juicio los fundamentos mismos sobre los que se asienta y desarrolla la autonomía municipal en Córdoba (CP, arts. 180 y 184). En efecto, desde su art. 1, la LOM establece expresamente el ámbito de su aplicación. Esto, al establecer que “regirá: 1) En los Municipios que no estén facultados para dictar su Carta Orgánica. 2) En los Municipios que no hayan dictado su Carta Orgánica, estando facultados para hacerlo. 3) En las Comunas” (lo destacado con negritas nos pertenece). Y precisa también que, hasta que las ciudades (esto es, las que tengas más de 10.000 habitantes; cfr. el art. 2) </w:t>
      </w:r>
      <w:proofErr w:type="gramStart"/>
      <w:r w:rsidRPr="000B0B1E">
        <w:rPr>
          <w:rFonts w:ascii="Times New Roman" w:hAnsi="Times New Roman"/>
          <w:i/>
          <w:iCs/>
          <w:sz w:val="28"/>
          <w:szCs w:val="28"/>
        </w:rPr>
        <w:t>“ no</w:t>
      </w:r>
      <w:proofErr w:type="gramEnd"/>
      <w:r w:rsidRPr="000B0B1E">
        <w:rPr>
          <w:rFonts w:ascii="Times New Roman" w:hAnsi="Times New Roman"/>
          <w:i/>
          <w:iCs/>
          <w:sz w:val="28"/>
          <w:szCs w:val="28"/>
        </w:rPr>
        <w:t xml:space="preserve"> dicten sus Cartas Orgánicas, se regirán por las disposiciones de esta ley” (art. 236). Ahora puede advertirse que, en virtud de lo programado por la propia CP, los municipios que carecen de COM propias, en sus bases institucionales, están sujetas a la LOM que, a la vez, desarrolla los presupuestos constitucionales (CP, arts. 180, 181 y 184). Como consecuencia, sus disposiciones resultan obligatorias para tales municipios, como es el caso del de Tanti. Porque, de otra forma, si sus previsiones fueran meras sugerencias -como pretende el Sr. Azar-, la LOM sería condenada a la irrelevancia o a la intrascendencia normativa. Ello, desde que no se aplicaría a los que cuentan con COM y para los otros sería una suerte de código modelo orientador, pero ya se ha visto que esta lectura personal contradice abiertamente el propio tenor de la LOM (arts. 1, 2 y 236, entre otros, en conexión con los arts. 180, 181, 184 y 104, inc. 10, de la CP)………</w:t>
      </w:r>
      <w:r w:rsidRPr="000B0B1E">
        <w:rPr>
          <w:rFonts w:ascii="Times New Roman" w:hAnsi="Times New Roman"/>
          <w:sz w:val="28"/>
          <w:szCs w:val="28"/>
        </w:rPr>
        <w:t xml:space="preserve">….”. Concejal LOPEZ no puede borrar con el codo lo que firmo y ratificó con sus manos, esto es la defensa del orden constitucional y la supremacía de la Ley Orgánica Municipal por sobre Ordenanzas Municipales que la contraríen. </w:t>
      </w:r>
    </w:p>
    <w:p w:rsidR="000B0B1E" w:rsidRPr="000B0B1E" w:rsidRDefault="000B0B1E" w:rsidP="000B0B1E">
      <w:pPr>
        <w:spacing w:line="360" w:lineRule="auto"/>
        <w:ind w:firstLine="708"/>
        <w:jc w:val="both"/>
        <w:rPr>
          <w:rFonts w:ascii="Times New Roman" w:eastAsia="Times New Roman" w:hAnsi="Times New Roman"/>
          <w:sz w:val="28"/>
          <w:szCs w:val="28"/>
          <w:lang w:eastAsia="es-ES"/>
        </w:rPr>
      </w:pPr>
      <w:r w:rsidRPr="000B0B1E">
        <w:rPr>
          <w:rFonts w:ascii="Times New Roman" w:eastAsia="Times New Roman" w:hAnsi="Times New Roman"/>
          <w:sz w:val="28"/>
          <w:szCs w:val="28"/>
          <w:lang w:eastAsia="es-ES"/>
        </w:rPr>
        <w:t>Que, en consecuencia, la reconsideración reclamada no podría ser admitida, ya que los agravios vertidos carecen de entidad bastante para conmover los argumentos esgrimidos en el acto respectivo, los cuales son lo suficientemente compactos como para resistir cualquier embate en el sentido que se pretende, en consecuencia, el decisorio en crisis debe ser confirmado en todas sus partes.</w:t>
      </w:r>
    </w:p>
    <w:p w:rsidR="000B0B1E" w:rsidRPr="000B0B1E" w:rsidRDefault="000B0B1E" w:rsidP="000B0B1E">
      <w:pPr>
        <w:tabs>
          <w:tab w:val="left" w:pos="295"/>
        </w:tabs>
        <w:spacing w:line="360" w:lineRule="auto"/>
        <w:jc w:val="both"/>
        <w:rPr>
          <w:rFonts w:ascii="Times New Roman" w:eastAsia="Times New Roman" w:hAnsi="Times New Roman"/>
          <w:sz w:val="28"/>
          <w:szCs w:val="28"/>
          <w:lang w:eastAsia="es-ES"/>
        </w:rPr>
      </w:pPr>
      <w:r w:rsidRPr="000B0B1E">
        <w:rPr>
          <w:rFonts w:ascii="Times New Roman" w:hAnsi="Times New Roman"/>
          <w:color w:val="000000"/>
          <w:sz w:val="28"/>
          <w:szCs w:val="28"/>
        </w:rPr>
        <w:t xml:space="preserve"> </w:t>
      </w:r>
      <w:r w:rsidRPr="000B0B1E">
        <w:rPr>
          <w:rFonts w:ascii="Times New Roman" w:eastAsia="Times New Roman" w:hAnsi="Times New Roman"/>
          <w:sz w:val="28"/>
          <w:szCs w:val="28"/>
          <w:lang w:eastAsia="es-ES"/>
        </w:rPr>
        <w:tab/>
      </w:r>
      <w:r w:rsidRPr="000B0B1E">
        <w:rPr>
          <w:rFonts w:ascii="Times New Roman" w:eastAsia="Times New Roman" w:hAnsi="Times New Roman"/>
          <w:bCs/>
          <w:sz w:val="28"/>
          <w:szCs w:val="28"/>
          <w:lang w:eastAsia="es-ES"/>
        </w:rPr>
        <w:t xml:space="preserve">Por ello, </w:t>
      </w:r>
    </w:p>
    <w:p w:rsidR="000B0B1E" w:rsidRPr="000B0B1E" w:rsidRDefault="000B0B1E" w:rsidP="000B0B1E">
      <w:pPr>
        <w:shd w:val="clear" w:color="auto" w:fill="FFFFFF"/>
        <w:spacing w:line="360" w:lineRule="auto"/>
        <w:jc w:val="center"/>
        <w:textAlignment w:val="top"/>
        <w:rPr>
          <w:rFonts w:ascii="Times New Roman" w:eastAsia="Times New Roman" w:hAnsi="Times New Roman"/>
          <w:b/>
          <w:sz w:val="28"/>
          <w:szCs w:val="28"/>
          <w:lang w:eastAsia="es-ES"/>
        </w:rPr>
      </w:pPr>
      <w:r w:rsidRPr="000B0B1E">
        <w:rPr>
          <w:rFonts w:ascii="Times New Roman" w:eastAsia="Times New Roman" w:hAnsi="Times New Roman"/>
          <w:b/>
          <w:sz w:val="28"/>
          <w:szCs w:val="28"/>
          <w:lang w:eastAsia="es-ES"/>
        </w:rPr>
        <w:t>LA PRESIDENTA DEL CONCEJO DELIBERANTE</w:t>
      </w:r>
    </w:p>
    <w:p w:rsidR="000B0B1E" w:rsidRPr="000B0B1E" w:rsidRDefault="000B0B1E" w:rsidP="000B0B1E">
      <w:pPr>
        <w:shd w:val="clear" w:color="auto" w:fill="FFFFFF"/>
        <w:spacing w:line="360" w:lineRule="auto"/>
        <w:jc w:val="center"/>
        <w:textAlignment w:val="top"/>
        <w:rPr>
          <w:rFonts w:ascii="Times New Roman" w:eastAsia="Times New Roman" w:hAnsi="Times New Roman"/>
          <w:b/>
          <w:sz w:val="28"/>
          <w:szCs w:val="28"/>
          <w:lang w:eastAsia="es-ES"/>
        </w:rPr>
      </w:pPr>
      <w:r w:rsidRPr="000B0B1E">
        <w:rPr>
          <w:rFonts w:ascii="Times New Roman" w:eastAsia="Times New Roman" w:hAnsi="Times New Roman"/>
          <w:b/>
          <w:sz w:val="28"/>
          <w:szCs w:val="28"/>
          <w:lang w:eastAsia="es-ES"/>
        </w:rPr>
        <w:lastRenderedPageBreak/>
        <w:t xml:space="preserve"> DE LA MUNICIPALIDAD DE TANTI</w:t>
      </w:r>
    </w:p>
    <w:p w:rsidR="000B0B1E" w:rsidRPr="000B0B1E" w:rsidRDefault="000B0B1E" w:rsidP="000B0B1E">
      <w:pPr>
        <w:shd w:val="clear" w:color="auto" w:fill="FFFFFF"/>
        <w:spacing w:line="360" w:lineRule="auto"/>
        <w:jc w:val="center"/>
        <w:textAlignment w:val="top"/>
        <w:rPr>
          <w:rFonts w:ascii="Times New Roman" w:eastAsia="Times New Roman" w:hAnsi="Times New Roman"/>
          <w:b/>
          <w:sz w:val="28"/>
          <w:szCs w:val="28"/>
          <w:lang w:eastAsia="es-ES"/>
        </w:rPr>
      </w:pPr>
      <w:r w:rsidRPr="000B0B1E">
        <w:rPr>
          <w:rFonts w:ascii="Times New Roman" w:eastAsia="Times New Roman" w:hAnsi="Times New Roman"/>
          <w:b/>
          <w:sz w:val="28"/>
          <w:szCs w:val="28"/>
          <w:lang w:eastAsia="es-ES"/>
        </w:rPr>
        <w:t>DECRETA</w:t>
      </w:r>
    </w:p>
    <w:p w:rsidR="000B0B1E" w:rsidRPr="000B0B1E" w:rsidRDefault="000B0B1E" w:rsidP="000B0B1E">
      <w:pPr>
        <w:spacing w:line="360" w:lineRule="auto"/>
        <w:jc w:val="both"/>
        <w:rPr>
          <w:rFonts w:ascii="Times New Roman" w:eastAsia="Times New Roman" w:hAnsi="Times New Roman"/>
          <w:b/>
          <w:sz w:val="28"/>
          <w:szCs w:val="28"/>
          <w:u w:val="single"/>
          <w:lang w:eastAsia="es-ES"/>
        </w:rPr>
      </w:pPr>
    </w:p>
    <w:p w:rsidR="000B0B1E" w:rsidRPr="000B0B1E" w:rsidRDefault="000B0B1E" w:rsidP="000B0B1E">
      <w:pPr>
        <w:spacing w:line="360" w:lineRule="auto"/>
        <w:jc w:val="both"/>
        <w:rPr>
          <w:rFonts w:ascii="Times New Roman" w:eastAsia="Times New Roman" w:hAnsi="Times New Roman"/>
          <w:sz w:val="28"/>
          <w:szCs w:val="28"/>
          <w:lang w:eastAsia="es-ES"/>
        </w:rPr>
      </w:pPr>
      <w:r w:rsidRPr="000B0B1E">
        <w:rPr>
          <w:rFonts w:ascii="Times New Roman" w:eastAsia="Times New Roman" w:hAnsi="Times New Roman"/>
          <w:b/>
          <w:sz w:val="28"/>
          <w:szCs w:val="28"/>
          <w:lang w:val="es-ES_tradnl" w:eastAsia="es-ES"/>
        </w:rPr>
        <w:t>Artículo 1º:</w:t>
      </w:r>
      <w:r w:rsidRPr="000B0B1E">
        <w:rPr>
          <w:rFonts w:ascii="Times New Roman" w:eastAsia="Times New Roman" w:hAnsi="Times New Roman"/>
          <w:sz w:val="28"/>
          <w:szCs w:val="28"/>
          <w:lang w:val="es-ES_tradnl" w:eastAsia="es-ES"/>
        </w:rPr>
        <w:t xml:space="preserve"> </w:t>
      </w:r>
      <w:r w:rsidRPr="000B0B1E">
        <w:rPr>
          <w:rFonts w:ascii="Times New Roman" w:eastAsia="Times New Roman" w:hAnsi="Times New Roman"/>
          <w:b/>
          <w:sz w:val="28"/>
          <w:szCs w:val="28"/>
          <w:lang w:val="es-ES_tradnl" w:eastAsia="es-ES"/>
        </w:rPr>
        <w:t>RECHÁCESE</w:t>
      </w:r>
      <w:r w:rsidRPr="000B0B1E">
        <w:rPr>
          <w:rFonts w:ascii="Times New Roman" w:eastAsia="Times New Roman" w:hAnsi="Times New Roman"/>
          <w:sz w:val="28"/>
          <w:szCs w:val="28"/>
          <w:lang w:val="es-ES_tradnl" w:eastAsia="es-ES"/>
        </w:rPr>
        <w:t xml:space="preserve"> el </w:t>
      </w:r>
      <w:r w:rsidRPr="000B0B1E">
        <w:rPr>
          <w:rFonts w:ascii="Times New Roman" w:eastAsia="Times New Roman" w:hAnsi="Times New Roman"/>
          <w:sz w:val="28"/>
          <w:szCs w:val="28"/>
          <w:lang w:eastAsia="es-ES"/>
        </w:rPr>
        <w:t xml:space="preserve">Recurso de Reconsideración interpuesto por los Concejales Sres. </w:t>
      </w:r>
      <w:r w:rsidRPr="000B0B1E">
        <w:rPr>
          <w:rFonts w:ascii="Times New Roman" w:hAnsi="Times New Roman"/>
          <w:bCs/>
          <w:sz w:val="28"/>
          <w:szCs w:val="28"/>
        </w:rPr>
        <w:t xml:space="preserve">Lucio Alberto LOPEZ </w:t>
      </w:r>
      <w:r w:rsidRPr="000B0B1E">
        <w:rPr>
          <w:rFonts w:ascii="Times New Roman" w:hAnsi="Times New Roman"/>
          <w:sz w:val="28"/>
          <w:szCs w:val="28"/>
        </w:rPr>
        <w:t>y Marcela Edith SUAREZ</w:t>
      </w:r>
      <w:r w:rsidRPr="000B0B1E">
        <w:rPr>
          <w:rFonts w:ascii="Times New Roman" w:eastAsia="Times New Roman" w:hAnsi="Times New Roman"/>
          <w:sz w:val="28"/>
          <w:szCs w:val="28"/>
          <w:lang w:eastAsia="es-ES"/>
        </w:rPr>
        <w:t>, en contra del decisorio de fecha 09/04/2025, por resultar sustancialmente improcedente, atento los fundamentos expresados en los considerandos del presente Decreto.</w:t>
      </w:r>
    </w:p>
    <w:p w:rsidR="000B0B1E" w:rsidRPr="000B0B1E" w:rsidRDefault="000B0B1E" w:rsidP="000B0B1E">
      <w:pPr>
        <w:spacing w:line="360" w:lineRule="auto"/>
        <w:jc w:val="both"/>
        <w:rPr>
          <w:rFonts w:ascii="Times New Roman" w:eastAsia="Times New Roman" w:hAnsi="Times New Roman"/>
          <w:sz w:val="28"/>
          <w:szCs w:val="28"/>
          <w:lang w:eastAsia="es-ES"/>
        </w:rPr>
      </w:pPr>
    </w:p>
    <w:p w:rsidR="000B0B1E" w:rsidRPr="000B0B1E" w:rsidRDefault="000B0B1E" w:rsidP="000B0B1E">
      <w:pPr>
        <w:spacing w:line="360" w:lineRule="auto"/>
        <w:jc w:val="both"/>
        <w:rPr>
          <w:rFonts w:ascii="Times New Roman" w:eastAsia="Times New Roman" w:hAnsi="Times New Roman"/>
          <w:sz w:val="28"/>
          <w:szCs w:val="28"/>
          <w:lang w:val="es-ES_tradnl" w:eastAsia="es-ES"/>
        </w:rPr>
      </w:pPr>
      <w:r w:rsidRPr="000B0B1E">
        <w:rPr>
          <w:rFonts w:ascii="Times New Roman" w:eastAsia="Times New Roman" w:hAnsi="Times New Roman"/>
          <w:b/>
          <w:bCs/>
          <w:sz w:val="28"/>
          <w:szCs w:val="28"/>
          <w:lang w:val="es-ES_tradnl" w:eastAsia="es-ES"/>
        </w:rPr>
        <w:t>Artículo 2</w:t>
      </w:r>
      <w:r w:rsidRPr="000B0B1E">
        <w:rPr>
          <w:rFonts w:ascii="Times New Roman" w:eastAsia="Times New Roman" w:hAnsi="Times New Roman"/>
          <w:sz w:val="28"/>
          <w:szCs w:val="28"/>
          <w:lang w:val="es-ES_tradnl" w:eastAsia="es-ES"/>
        </w:rPr>
        <w:t xml:space="preserve">°: </w:t>
      </w:r>
      <w:r w:rsidRPr="000B0B1E">
        <w:rPr>
          <w:rFonts w:ascii="Times New Roman" w:eastAsia="Times New Roman" w:hAnsi="Times New Roman"/>
          <w:b/>
          <w:bCs/>
          <w:sz w:val="28"/>
          <w:szCs w:val="28"/>
          <w:lang w:val="es-ES_tradnl" w:eastAsia="es-ES"/>
        </w:rPr>
        <w:t xml:space="preserve">TÉNGASE </w:t>
      </w:r>
      <w:r w:rsidRPr="000B0B1E">
        <w:rPr>
          <w:rFonts w:ascii="Times New Roman" w:eastAsia="Times New Roman" w:hAnsi="Times New Roman"/>
          <w:sz w:val="28"/>
          <w:szCs w:val="28"/>
          <w:lang w:val="es-ES_tradnl" w:eastAsia="es-ES"/>
        </w:rPr>
        <w:t xml:space="preserve">por agotada la vía administrativa.  </w:t>
      </w:r>
    </w:p>
    <w:p w:rsidR="000B0B1E" w:rsidRPr="000B0B1E" w:rsidRDefault="000B0B1E" w:rsidP="000B0B1E">
      <w:pPr>
        <w:spacing w:line="360" w:lineRule="auto"/>
        <w:jc w:val="both"/>
        <w:rPr>
          <w:rFonts w:ascii="Times New Roman" w:eastAsia="Times New Roman" w:hAnsi="Times New Roman"/>
          <w:b/>
          <w:bCs/>
          <w:sz w:val="28"/>
          <w:szCs w:val="28"/>
          <w:u w:val="single"/>
          <w:lang w:val="es-ES_tradnl" w:eastAsia="es-ES"/>
        </w:rPr>
      </w:pPr>
    </w:p>
    <w:p w:rsidR="000B0B1E" w:rsidRPr="000B0B1E" w:rsidRDefault="000B0B1E" w:rsidP="000B0B1E">
      <w:pPr>
        <w:spacing w:line="360" w:lineRule="auto"/>
        <w:jc w:val="both"/>
        <w:rPr>
          <w:rFonts w:ascii="Times New Roman" w:eastAsia="Times New Roman" w:hAnsi="Times New Roman"/>
          <w:sz w:val="28"/>
          <w:szCs w:val="28"/>
          <w:lang w:eastAsia="es-ES"/>
        </w:rPr>
      </w:pPr>
      <w:r w:rsidRPr="000B0B1E">
        <w:rPr>
          <w:rFonts w:ascii="Times New Roman" w:eastAsia="Times New Roman" w:hAnsi="Times New Roman"/>
          <w:b/>
          <w:bCs/>
          <w:sz w:val="28"/>
          <w:szCs w:val="28"/>
          <w:lang w:val="es-ES_tradnl" w:eastAsia="es-ES"/>
        </w:rPr>
        <w:t>Artículo 3</w:t>
      </w:r>
      <w:r w:rsidRPr="000B0B1E">
        <w:rPr>
          <w:rFonts w:ascii="Times New Roman" w:eastAsia="Times New Roman" w:hAnsi="Times New Roman"/>
          <w:sz w:val="28"/>
          <w:szCs w:val="28"/>
          <w:lang w:val="es-ES_tradnl" w:eastAsia="es-ES"/>
        </w:rPr>
        <w:t xml:space="preserve">°: </w:t>
      </w:r>
      <w:r w:rsidRPr="000B0B1E">
        <w:rPr>
          <w:rFonts w:ascii="Times New Roman" w:eastAsia="Times New Roman" w:hAnsi="Times New Roman"/>
          <w:b/>
          <w:sz w:val="28"/>
          <w:szCs w:val="28"/>
          <w:lang w:val="es-ES_tradnl" w:eastAsia="es-ES"/>
        </w:rPr>
        <w:t>NOTIFÍQUESE</w:t>
      </w:r>
      <w:r w:rsidRPr="000B0B1E">
        <w:rPr>
          <w:rFonts w:ascii="Times New Roman" w:eastAsia="Times New Roman" w:hAnsi="Times New Roman"/>
          <w:sz w:val="28"/>
          <w:szCs w:val="28"/>
          <w:lang w:val="es-ES_tradnl" w:eastAsia="es-ES"/>
        </w:rPr>
        <w:t xml:space="preserve"> lo dispuesto por el presente Decreto con visto, considerandos y parte resolutiva</w:t>
      </w:r>
      <w:r w:rsidRPr="000B0B1E">
        <w:rPr>
          <w:rFonts w:ascii="Times New Roman" w:eastAsia="Times New Roman" w:hAnsi="Times New Roman"/>
          <w:sz w:val="28"/>
          <w:szCs w:val="28"/>
          <w:lang w:eastAsia="es-ES"/>
        </w:rPr>
        <w:t>.</w:t>
      </w:r>
    </w:p>
    <w:p w:rsidR="000B0B1E" w:rsidRPr="000B0B1E" w:rsidRDefault="000B0B1E" w:rsidP="000B0B1E">
      <w:pPr>
        <w:spacing w:line="360" w:lineRule="auto"/>
        <w:jc w:val="both"/>
        <w:rPr>
          <w:rFonts w:ascii="Times New Roman" w:eastAsia="Times New Roman" w:hAnsi="Times New Roman"/>
          <w:sz w:val="28"/>
          <w:szCs w:val="28"/>
          <w:lang w:eastAsia="es-ES"/>
        </w:rPr>
      </w:pPr>
    </w:p>
    <w:p w:rsidR="000B0B1E" w:rsidRPr="000B0B1E" w:rsidRDefault="000B0B1E" w:rsidP="000B0B1E">
      <w:pPr>
        <w:spacing w:line="360" w:lineRule="auto"/>
        <w:jc w:val="both"/>
        <w:rPr>
          <w:rFonts w:ascii="Times New Roman" w:eastAsia="Times New Roman" w:hAnsi="Times New Roman"/>
          <w:sz w:val="28"/>
          <w:szCs w:val="28"/>
          <w:lang w:val="es-ES_tradnl" w:eastAsia="es-ES"/>
        </w:rPr>
      </w:pPr>
      <w:r w:rsidRPr="000B0B1E">
        <w:rPr>
          <w:rFonts w:ascii="Times New Roman" w:eastAsia="Times New Roman" w:hAnsi="Times New Roman"/>
          <w:b/>
          <w:sz w:val="28"/>
          <w:szCs w:val="28"/>
          <w:lang w:val="es-ES_tradnl" w:eastAsia="es-ES"/>
        </w:rPr>
        <w:t>Artículo 4º:</w:t>
      </w:r>
      <w:r w:rsidRPr="000B0B1E">
        <w:rPr>
          <w:rFonts w:ascii="Times New Roman" w:eastAsia="Times New Roman" w:hAnsi="Times New Roman"/>
          <w:sz w:val="28"/>
          <w:szCs w:val="28"/>
          <w:lang w:val="es-ES_tradnl" w:eastAsia="es-ES"/>
        </w:rPr>
        <w:t xml:space="preserve"> </w:t>
      </w:r>
      <w:r w:rsidRPr="000B0B1E">
        <w:rPr>
          <w:rFonts w:ascii="Times New Roman" w:eastAsia="Times New Roman" w:hAnsi="Times New Roman"/>
          <w:b/>
          <w:sz w:val="28"/>
          <w:szCs w:val="28"/>
          <w:lang w:val="es-ES_tradnl" w:eastAsia="es-ES"/>
        </w:rPr>
        <w:t>PUBLÍQUESE</w:t>
      </w:r>
      <w:r w:rsidRPr="000B0B1E">
        <w:rPr>
          <w:rFonts w:ascii="Times New Roman" w:eastAsia="Times New Roman" w:hAnsi="Times New Roman"/>
          <w:sz w:val="28"/>
          <w:szCs w:val="28"/>
          <w:lang w:val="es-ES_tradnl" w:eastAsia="es-ES"/>
        </w:rPr>
        <w:t xml:space="preserve">, Protocolícese, Dese al Registro Municipal y Archívese.       </w:t>
      </w:r>
    </w:p>
    <w:p w:rsidR="000B0B1E" w:rsidRPr="000B0B1E" w:rsidRDefault="000B0B1E" w:rsidP="000B0B1E">
      <w:pPr>
        <w:spacing w:line="360" w:lineRule="auto"/>
        <w:rPr>
          <w:rFonts w:ascii="Times New Roman" w:hAnsi="Times New Roman"/>
          <w:sz w:val="28"/>
          <w:szCs w:val="28"/>
          <w:lang w:val="es-ES_tradnl"/>
        </w:rPr>
      </w:pPr>
    </w:p>
    <w:p w:rsidR="000B0B1E" w:rsidRPr="000B0B1E" w:rsidRDefault="000B0B1E">
      <w:pPr>
        <w:rPr>
          <w:sz w:val="28"/>
          <w:szCs w:val="28"/>
        </w:rPr>
      </w:pPr>
    </w:p>
    <w:sectPr w:rsidR="000B0B1E" w:rsidRPr="000B0B1E" w:rsidSect="00974818">
      <w:headerReference w:type="default" r:id="rId6"/>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7EB1" w:rsidRDefault="00E17EB1" w:rsidP="00974818">
      <w:r>
        <w:separator/>
      </w:r>
    </w:p>
  </w:endnote>
  <w:endnote w:type="continuationSeparator" w:id="0">
    <w:p w:rsidR="00E17EB1" w:rsidRDefault="00E17EB1" w:rsidP="009748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7EB1" w:rsidRDefault="00E17EB1" w:rsidP="00974818">
      <w:r>
        <w:separator/>
      </w:r>
    </w:p>
  </w:footnote>
  <w:footnote w:type="continuationSeparator" w:id="0">
    <w:p w:rsidR="00E17EB1" w:rsidRDefault="00E17EB1" w:rsidP="009748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4818" w:rsidRDefault="00974818" w:rsidP="00974818">
    <w:pPr>
      <w:pStyle w:val="NormalWeb"/>
      <w:tabs>
        <w:tab w:val="left" w:pos="5676"/>
      </w:tabs>
    </w:pPr>
    <w:r>
      <w:rPr>
        <w:noProof/>
      </w:rPr>
      <w:drawing>
        <wp:inline distT="0" distB="0" distL="0" distR="0" wp14:anchorId="41D33FC5" wp14:editId="3FA959DD">
          <wp:extent cx="2589556" cy="701040"/>
          <wp:effectExtent l="0" t="0" r="1270" b="3810"/>
          <wp:docPr id="1" name="Imagen 1" descr="D:\Users\Secre\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Secre\Desktop\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489" t="20677" r="541" b="12882"/>
                  <a:stretch/>
                </pic:blipFill>
                <pic:spPr bwMode="auto">
                  <a:xfrm>
                    <a:off x="0" y="0"/>
                    <a:ext cx="2621310" cy="709636"/>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9D9"/>
    <w:rsid w:val="0007162F"/>
    <w:rsid w:val="000B0B1E"/>
    <w:rsid w:val="004B13F7"/>
    <w:rsid w:val="005C0C7F"/>
    <w:rsid w:val="00974818"/>
    <w:rsid w:val="00E17EB1"/>
    <w:rsid w:val="00E829D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321FF80-7690-4351-909E-FBEDB2C93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74818"/>
    <w:pPr>
      <w:widowControl w:val="0"/>
      <w:autoSpaceDE w:val="0"/>
      <w:autoSpaceDN w:val="0"/>
      <w:spacing w:after="0" w:line="240" w:lineRule="auto"/>
    </w:pPr>
    <w:rPr>
      <w:rFonts w:ascii="Verdana" w:eastAsia="Verdana" w:hAnsi="Verdana" w:cs="Verdana"/>
      <w:lang w:val="es-ES"/>
    </w:rPr>
  </w:style>
  <w:style w:type="paragraph" w:styleId="Ttulo1">
    <w:name w:val="heading 1"/>
    <w:basedOn w:val="Normal"/>
    <w:link w:val="Ttulo1Car"/>
    <w:uiPriority w:val="1"/>
    <w:qFormat/>
    <w:rsid w:val="00974818"/>
    <w:pPr>
      <w:ind w:left="82"/>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974818"/>
    <w:rPr>
      <w:rFonts w:ascii="Verdana" w:eastAsia="Verdana" w:hAnsi="Verdana" w:cs="Verdana"/>
      <w:b/>
      <w:bCs/>
      <w:sz w:val="24"/>
      <w:szCs w:val="24"/>
      <w:lang w:val="es-ES"/>
    </w:rPr>
  </w:style>
  <w:style w:type="paragraph" w:styleId="Textoindependiente">
    <w:name w:val="Body Text"/>
    <w:basedOn w:val="Normal"/>
    <w:link w:val="TextoindependienteCar"/>
    <w:uiPriority w:val="1"/>
    <w:semiHidden/>
    <w:unhideWhenUsed/>
    <w:qFormat/>
    <w:rsid w:val="00974818"/>
    <w:rPr>
      <w:sz w:val="24"/>
      <w:szCs w:val="24"/>
    </w:rPr>
  </w:style>
  <w:style w:type="character" w:customStyle="1" w:styleId="TextoindependienteCar">
    <w:name w:val="Texto independiente Car"/>
    <w:basedOn w:val="Fuentedeprrafopredeter"/>
    <w:link w:val="Textoindependiente"/>
    <w:uiPriority w:val="1"/>
    <w:semiHidden/>
    <w:rsid w:val="00974818"/>
    <w:rPr>
      <w:rFonts w:ascii="Verdana" w:eastAsia="Verdana" w:hAnsi="Verdana" w:cs="Verdana"/>
      <w:sz w:val="24"/>
      <w:szCs w:val="24"/>
      <w:lang w:val="es-ES"/>
    </w:rPr>
  </w:style>
  <w:style w:type="paragraph" w:styleId="Encabezado">
    <w:name w:val="header"/>
    <w:basedOn w:val="Normal"/>
    <w:link w:val="EncabezadoCar"/>
    <w:uiPriority w:val="99"/>
    <w:unhideWhenUsed/>
    <w:rsid w:val="00974818"/>
    <w:pPr>
      <w:tabs>
        <w:tab w:val="center" w:pos="4252"/>
        <w:tab w:val="right" w:pos="8504"/>
      </w:tabs>
    </w:pPr>
  </w:style>
  <w:style w:type="character" w:customStyle="1" w:styleId="EncabezadoCar">
    <w:name w:val="Encabezado Car"/>
    <w:basedOn w:val="Fuentedeprrafopredeter"/>
    <w:link w:val="Encabezado"/>
    <w:uiPriority w:val="99"/>
    <w:rsid w:val="00974818"/>
    <w:rPr>
      <w:rFonts w:ascii="Verdana" w:eastAsia="Verdana" w:hAnsi="Verdana" w:cs="Verdana"/>
      <w:lang w:val="es-ES"/>
    </w:rPr>
  </w:style>
  <w:style w:type="paragraph" w:styleId="Piedepgina">
    <w:name w:val="footer"/>
    <w:basedOn w:val="Normal"/>
    <w:link w:val="PiedepginaCar"/>
    <w:uiPriority w:val="99"/>
    <w:unhideWhenUsed/>
    <w:rsid w:val="00974818"/>
    <w:pPr>
      <w:tabs>
        <w:tab w:val="center" w:pos="4252"/>
        <w:tab w:val="right" w:pos="8504"/>
      </w:tabs>
    </w:pPr>
  </w:style>
  <w:style w:type="character" w:customStyle="1" w:styleId="PiedepginaCar">
    <w:name w:val="Pie de página Car"/>
    <w:basedOn w:val="Fuentedeprrafopredeter"/>
    <w:link w:val="Piedepgina"/>
    <w:uiPriority w:val="99"/>
    <w:rsid w:val="00974818"/>
    <w:rPr>
      <w:rFonts w:ascii="Verdana" w:eastAsia="Verdana" w:hAnsi="Verdana" w:cs="Verdana"/>
      <w:lang w:val="es-ES"/>
    </w:rPr>
  </w:style>
  <w:style w:type="paragraph" w:styleId="NormalWeb">
    <w:name w:val="Normal (Web)"/>
    <w:basedOn w:val="Normal"/>
    <w:uiPriority w:val="99"/>
    <w:unhideWhenUsed/>
    <w:rsid w:val="00974818"/>
    <w:pPr>
      <w:widowControl/>
      <w:autoSpaceDE/>
      <w:autoSpaceDN/>
      <w:spacing w:before="100" w:beforeAutospacing="1" w:after="100" w:afterAutospacing="1"/>
    </w:pPr>
    <w:rPr>
      <w:rFonts w:ascii="Times New Roman" w:eastAsia="Times New Roman" w:hAnsi="Times New Roman" w:cs="Times New Roman"/>
      <w:sz w:val="24"/>
      <w:szCs w:val="24"/>
      <w:lang w:val="es-AR"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8355927">
      <w:bodyDiv w:val="1"/>
      <w:marLeft w:val="0"/>
      <w:marRight w:val="0"/>
      <w:marTop w:val="0"/>
      <w:marBottom w:val="0"/>
      <w:divBdr>
        <w:top w:val="none" w:sz="0" w:space="0" w:color="auto"/>
        <w:left w:val="none" w:sz="0" w:space="0" w:color="auto"/>
        <w:bottom w:val="none" w:sz="0" w:space="0" w:color="auto"/>
        <w:right w:val="none" w:sz="0" w:space="0" w:color="auto"/>
      </w:divBdr>
    </w:div>
    <w:div w:id="1890141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8</Pages>
  <Words>2451</Words>
  <Characters>13484</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2</cp:revision>
  <dcterms:created xsi:type="dcterms:W3CDTF">2025-07-07T12:56:00Z</dcterms:created>
  <dcterms:modified xsi:type="dcterms:W3CDTF">2025-07-07T16:35:00Z</dcterms:modified>
</cp:coreProperties>
</file>