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3E0C" w:rsidRPr="006C14BD" w:rsidRDefault="00CF3E0C" w:rsidP="00CF3E0C">
      <w:pPr>
        <w:spacing w:after="280" w:line="240" w:lineRule="auto"/>
        <w:jc w:val="center"/>
        <w:rPr>
          <w:rFonts w:ascii="Times New Roman" w:eastAsia="Verdana" w:hAnsi="Times New Roman" w:cs="Times New Roman"/>
          <w:szCs w:val="28"/>
        </w:rPr>
      </w:pPr>
      <w:r>
        <w:rPr>
          <w:rFonts w:ascii="Times New Roman" w:eastAsia="Verdana" w:hAnsi="Times New Roman" w:cs="Times New Roman"/>
          <w:b/>
          <w:sz w:val="40"/>
          <w:szCs w:val="28"/>
        </w:rPr>
        <w:t>ORDENANZA Nº 1536</w:t>
      </w:r>
      <w:r w:rsidRPr="00CF3E0C">
        <w:rPr>
          <w:rFonts w:ascii="Times New Roman" w:eastAsia="Verdana" w:hAnsi="Times New Roman" w:cs="Times New Roman"/>
          <w:b/>
          <w:sz w:val="40"/>
          <w:szCs w:val="28"/>
        </w:rPr>
        <w:t>/25</w:t>
      </w:r>
      <w:r w:rsidRPr="00CF3E0C">
        <w:rPr>
          <w:rFonts w:ascii="Times New Roman" w:eastAsia="Verdana" w:hAnsi="Times New Roman" w:cs="Times New Roman"/>
          <w:b/>
          <w:sz w:val="40"/>
          <w:szCs w:val="28"/>
        </w:rPr>
        <w:br/>
      </w:r>
      <w:r w:rsidRPr="006C14BD">
        <w:rPr>
          <w:rFonts w:ascii="Times New Roman" w:eastAsia="Verdana" w:hAnsi="Times New Roman" w:cs="Times New Roman"/>
          <w:szCs w:val="28"/>
        </w:rPr>
        <w:t>“Modificación de la denominación de la Dirección de Desarrollo Social a Dirección de Políticas Sociales”</w:t>
      </w:r>
    </w:p>
    <w:p w:rsidR="00CF3E0C" w:rsidRPr="006C14BD" w:rsidRDefault="00CF3E0C" w:rsidP="00CF3E0C">
      <w:pPr>
        <w:spacing w:before="280" w:after="280" w:line="360" w:lineRule="auto"/>
        <w:jc w:val="both"/>
        <w:rPr>
          <w:rFonts w:ascii="Times New Roman" w:eastAsia="Verdana" w:hAnsi="Times New Roman" w:cs="Times New Roman"/>
          <w:b/>
          <w:sz w:val="32"/>
          <w:szCs w:val="28"/>
        </w:rPr>
      </w:pPr>
      <w:r w:rsidRPr="006C14BD">
        <w:rPr>
          <w:rFonts w:ascii="Times New Roman" w:eastAsia="Verdana" w:hAnsi="Times New Roman" w:cs="Times New Roman"/>
          <w:b/>
          <w:sz w:val="32"/>
          <w:szCs w:val="28"/>
        </w:rPr>
        <w:t xml:space="preserve">VISTO: </w:t>
      </w:r>
    </w:p>
    <w:p w:rsidR="00CF3E0C" w:rsidRPr="006C14BD" w:rsidRDefault="00CF3E0C" w:rsidP="00CF3E0C">
      <w:pPr>
        <w:spacing w:before="280" w:after="280" w:line="360" w:lineRule="auto"/>
        <w:ind w:firstLine="708"/>
        <w:jc w:val="both"/>
        <w:rPr>
          <w:rFonts w:ascii="Times New Roman" w:eastAsia="Verdana" w:hAnsi="Times New Roman" w:cs="Times New Roman"/>
          <w:sz w:val="28"/>
          <w:szCs w:val="28"/>
        </w:rPr>
      </w:pPr>
      <w:r>
        <w:rPr>
          <w:rFonts w:ascii="Times New Roman" w:eastAsia="Verdana" w:hAnsi="Times New Roman" w:cs="Times New Roman"/>
          <w:sz w:val="28"/>
          <w:szCs w:val="28"/>
        </w:rPr>
        <w:t xml:space="preserve">  </w:t>
      </w:r>
      <w:r>
        <w:rPr>
          <w:rFonts w:ascii="Times New Roman" w:eastAsia="Verdana" w:hAnsi="Times New Roman" w:cs="Times New Roman"/>
          <w:sz w:val="28"/>
          <w:szCs w:val="28"/>
        </w:rPr>
        <w:t xml:space="preserve">   </w:t>
      </w:r>
      <w:r w:rsidRPr="006C14BD">
        <w:rPr>
          <w:rFonts w:ascii="Times New Roman" w:eastAsia="Verdana" w:hAnsi="Times New Roman" w:cs="Times New Roman"/>
          <w:sz w:val="28"/>
          <w:szCs w:val="28"/>
        </w:rPr>
        <w:t>La necesidad de actualizar la denominación y el enfoque de la actual Dirección de Desarrollo Social de la Municipalidad de Tanti, conforme a los lineamientos contemporáneos de política pública, y</w:t>
      </w:r>
    </w:p>
    <w:p w:rsidR="00CF3E0C" w:rsidRPr="006C14BD" w:rsidRDefault="00CF3E0C" w:rsidP="00CF3E0C">
      <w:pPr>
        <w:spacing w:before="280" w:after="280" w:line="360" w:lineRule="auto"/>
        <w:jc w:val="both"/>
        <w:rPr>
          <w:rFonts w:ascii="Times New Roman" w:eastAsia="Verdana" w:hAnsi="Times New Roman" w:cs="Times New Roman"/>
          <w:sz w:val="28"/>
          <w:szCs w:val="28"/>
        </w:rPr>
      </w:pPr>
      <w:r w:rsidRPr="006C14BD">
        <w:rPr>
          <w:rFonts w:ascii="Times New Roman" w:eastAsia="Verdana" w:hAnsi="Times New Roman" w:cs="Times New Roman"/>
          <w:b/>
          <w:sz w:val="32"/>
          <w:szCs w:val="28"/>
        </w:rPr>
        <w:t>CONSIDERANDO:</w:t>
      </w:r>
      <w:r w:rsidRPr="006C14BD">
        <w:rPr>
          <w:rFonts w:ascii="Times New Roman" w:eastAsia="Verdana" w:hAnsi="Times New Roman" w:cs="Times New Roman"/>
          <w:b/>
          <w:sz w:val="32"/>
          <w:szCs w:val="28"/>
        </w:rPr>
        <w:br/>
      </w:r>
      <w:r>
        <w:rPr>
          <w:rFonts w:ascii="Times New Roman" w:eastAsia="Verdana" w:hAnsi="Times New Roman" w:cs="Times New Roman"/>
          <w:sz w:val="28"/>
          <w:szCs w:val="28"/>
        </w:rPr>
        <w:t xml:space="preserve">                </w:t>
      </w:r>
      <w:r w:rsidRPr="006C14BD">
        <w:rPr>
          <w:rFonts w:ascii="Times New Roman" w:eastAsia="Verdana" w:hAnsi="Times New Roman" w:cs="Times New Roman"/>
          <w:sz w:val="28"/>
          <w:szCs w:val="28"/>
        </w:rPr>
        <w:t xml:space="preserve"> Que en los últimos años se ha producido un avance conceptual y normativo en el campo de las políticas sociales, privilegiando una perspectiva de derechos, territorialidad, inclusión y articulación interinstitucional;</w:t>
      </w:r>
    </w:p>
    <w:p w:rsidR="00CF3E0C" w:rsidRPr="006C14BD" w:rsidRDefault="00CF3E0C" w:rsidP="00CF3E0C">
      <w:pPr>
        <w:spacing w:before="280" w:after="280" w:line="360" w:lineRule="auto"/>
        <w:ind w:firstLine="708"/>
        <w:jc w:val="both"/>
        <w:rPr>
          <w:rFonts w:ascii="Times New Roman" w:eastAsia="Verdana" w:hAnsi="Times New Roman" w:cs="Times New Roman"/>
          <w:sz w:val="28"/>
          <w:szCs w:val="28"/>
        </w:rPr>
      </w:pPr>
      <w:r>
        <w:rPr>
          <w:rFonts w:ascii="Times New Roman" w:eastAsia="Verdana" w:hAnsi="Times New Roman" w:cs="Times New Roman"/>
          <w:sz w:val="28"/>
          <w:szCs w:val="28"/>
        </w:rPr>
        <w:t xml:space="preserve">  </w:t>
      </w:r>
      <w:r>
        <w:rPr>
          <w:rFonts w:ascii="Times New Roman" w:eastAsia="Verdana" w:hAnsi="Times New Roman" w:cs="Times New Roman"/>
          <w:sz w:val="28"/>
          <w:szCs w:val="28"/>
        </w:rPr>
        <w:t xml:space="preserve">     </w:t>
      </w:r>
      <w:r w:rsidRPr="006C14BD">
        <w:rPr>
          <w:rFonts w:ascii="Times New Roman" w:eastAsia="Verdana" w:hAnsi="Times New Roman" w:cs="Times New Roman"/>
          <w:sz w:val="28"/>
          <w:szCs w:val="28"/>
        </w:rPr>
        <w:t>Que el término "Desarrollo Social", si bien históricamente útil, responde a una visión más asistencialista y fragmentaria, mientras que "Políticas Sociales" refiere a una concepción más amplia, planificada y estructurada, orientada al bienestar social de manera integral y sustentable;</w:t>
      </w:r>
    </w:p>
    <w:p w:rsidR="00CF3E0C" w:rsidRPr="006C14BD" w:rsidRDefault="00CF3E0C" w:rsidP="00CF3E0C">
      <w:pPr>
        <w:spacing w:before="280" w:after="280" w:line="360" w:lineRule="auto"/>
        <w:ind w:firstLine="708"/>
        <w:jc w:val="both"/>
        <w:rPr>
          <w:rFonts w:ascii="Times New Roman" w:eastAsia="Verdana" w:hAnsi="Times New Roman" w:cs="Times New Roman"/>
          <w:sz w:val="28"/>
          <w:szCs w:val="28"/>
        </w:rPr>
      </w:pPr>
      <w:r>
        <w:rPr>
          <w:rFonts w:ascii="Times New Roman" w:eastAsia="Verdana" w:hAnsi="Times New Roman" w:cs="Times New Roman"/>
          <w:sz w:val="28"/>
          <w:szCs w:val="28"/>
        </w:rPr>
        <w:t xml:space="preserve"> </w:t>
      </w:r>
      <w:r>
        <w:rPr>
          <w:rFonts w:ascii="Times New Roman" w:eastAsia="Verdana" w:hAnsi="Times New Roman" w:cs="Times New Roman"/>
          <w:sz w:val="28"/>
          <w:szCs w:val="28"/>
        </w:rPr>
        <w:t xml:space="preserve">       </w:t>
      </w:r>
      <w:r w:rsidRPr="006C14BD">
        <w:rPr>
          <w:rFonts w:ascii="Times New Roman" w:eastAsia="Verdana" w:hAnsi="Times New Roman" w:cs="Times New Roman"/>
          <w:sz w:val="28"/>
          <w:szCs w:val="28"/>
        </w:rPr>
        <w:t>Que en la localidad de Tanti se evidencia una creciente demanda de intervenciones sociales específicas, especialmente en lo referido a personas mayores, personas con discapacidad, niños, niñas y adolescentes, así como familias en situación de vulnerabilidad social;</w:t>
      </w:r>
    </w:p>
    <w:p w:rsidR="00CF3E0C" w:rsidRPr="006C14BD" w:rsidRDefault="00CF3E0C" w:rsidP="00CF3E0C">
      <w:pPr>
        <w:spacing w:before="280" w:after="280" w:line="360" w:lineRule="auto"/>
        <w:ind w:firstLine="708"/>
        <w:jc w:val="both"/>
        <w:rPr>
          <w:rFonts w:ascii="Times New Roman" w:eastAsia="Verdana" w:hAnsi="Times New Roman" w:cs="Times New Roman"/>
          <w:sz w:val="28"/>
          <w:szCs w:val="28"/>
        </w:rPr>
      </w:pPr>
      <w:r>
        <w:rPr>
          <w:rFonts w:ascii="Times New Roman" w:eastAsia="Verdana" w:hAnsi="Times New Roman" w:cs="Times New Roman"/>
          <w:sz w:val="28"/>
          <w:szCs w:val="28"/>
        </w:rPr>
        <w:t xml:space="preserve"> </w:t>
      </w:r>
      <w:r>
        <w:rPr>
          <w:rFonts w:ascii="Times New Roman" w:eastAsia="Verdana" w:hAnsi="Times New Roman" w:cs="Times New Roman"/>
          <w:sz w:val="28"/>
          <w:szCs w:val="28"/>
        </w:rPr>
        <w:t xml:space="preserve">        </w:t>
      </w:r>
      <w:r w:rsidRPr="006C14BD">
        <w:rPr>
          <w:rFonts w:ascii="Times New Roman" w:eastAsia="Verdana" w:hAnsi="Times New Roman" w:cs="Times New Roman"/>
          <w:sz w:val="28"/>
          <w:szCs w:val="28"/>
        </w:rPr>
        <w:t>Que, según datos relevados por organismos provinciales y municipales, la población de Tanti ha mostrado un aumento en la proporción de personas mayores, quienes requieren políticas específicas de acompañamiento, accesibilidad y cuidado;</w:t>
      </w:r>
    </w:p>
    <w:p w:rsidR="00CF3E0C" w:rsidRPr="006C14BD" w:rsidRDefault="00CF3E0C" w:rsidP="00CF3E0C">
      <w:pPr>
        <w:spacing w:before="280" w:after="280" w:line="360" w:lineRule="auto"/>
        <w:ind w:firstLine="708"/>
        <w:jc w:val="both"/>
        <w:rPr>
          <w:rFonts w:ascii="Times New Roman" w:eastAsia="Verdana" w:hAnsi="Times New Roman" w:cs="Times New Roman"/>
          <w:sz w:val="28"/>
          <w:szCs w:val="28"/>
        </w:rPr>
      </w:pPr>
      <w:r>
        <w:rPr>
          <w:rFonts w:ascii="Times New Roman" w:eastAsia="Verdana" w:hAnsi="Times New Roman" w:cs="Times New Roman"/>
          <w:sz w:val="28"/>
          <w:szCs w:val="28"/>
        </w:rPr>
        <w:t xml:space="preserve"> </w:t>
      </w:r>
      <w:r>
        <w:rPr>
          <w:rFonts w:ascii="Times New Roman" w:eastAsia="Verdana" w:hAnsi="Times New Roman" w:cs="Times New Roman"/>
          <w:sz w:val="28"/>
          <w:szCs w:val="28"/>
        </w:rPr>
        <w:t xml:space="preserve">         </w:t>
      </w:r>
      <w:r w:rsidRPr="006C14BD">
        <w:rPr>
          <w:rFonts w:ascii="Times New Roman" w:eastAsia="Verdana" w:hAnsi="Times New Roman" w:cs="Times New Roman"/>
          <w:sz w:val="28"/>
          <w:szCs w:val="28"/>
        </w:rPr>
        <w:t>Que el abordaje integral de la niñez y adolescencia exige dispositivos comunitarios, educativos, de protección y promoción de derechos con enfoque intersectorial, así como políticas de contención para contextos familiares complejos;</w:t>
      </w:r>
    </w:p>
    <w:p w:rsidR="00CF3E0C" w:rsidRPr="006C14BD" w:rsidRDefault="00CF3E0C" w:rsidP="00CF3E0C">
      <w:pPr>
        <w:spacing w:before="280" w:after="280" w:line="360" w:lineRule="auto"/>
        <w:ind w:firstLine="708"/>
        <w:jc w:val="both"/>
        <w:rPr>
          <w:rFonts w:ascii="Times New Roman" w:eastAsia="Verdana" w:hAnsi="Times New Roman" w:cs="Times New Roman"/>
          <w:sz w:val="28"/>
          <w:szCs w:val="28"/>
        </w:rPr>
      </w:pPr>
      <w:r>
        <w:rPr>
          <w:rFonts w:ascii="Times New Roman" w:eastAsia="Verdana" w:hAnsi="Times New Roman" w:cs="Times New Roman"/>
          <w:sz w:val="28"/>
          <w:szCs w:val="28"/>
        </w:rPr>
        <w:t xml:space="preserve">  </w:t>
      </w:r>
      <w:r>
        <w:rPr>
          <w:rFonts w:ascii="Times New Roman" w:eastAsia="Verdana" w:hAnsi="Times New Roman" w:cs="Times New Roman"/>
          <w:sz w:val="28"/>
          <w:szCs w:val="28"/>
        </w:rPr>
        <w:t xml:space="preserve">         </w:t>
      </w:r>
      <w:r w:rsidRPr="006C14BD">
        <w:rPr>
          <w:rFonts w:ascii="Times New Roman" w:eastAsia="Verdana" w:hAnsi="Times New Roman" w:cs="Times New Roman"/>
          <w:sz w:val="28"/>
          <w:szCs w:val="28"/>
        </w:rPr>
        <w:t>Que se ha intensificado en Tanti el trabajo con personas con discapacidad, promoviendo su participación plena y efectiva en la vida comunitaria, en línea con la Convención Internacional sobre los Derechos de las Personas con Discapacidad;</w:t>
      </w:r>
    </w:p>
    <w:p w:rsidR="00CF3E0C" w:rsidRPr="006C14BD" w:rsidRDefault="00CF3E0C" w:rsidP="00CF3E0C">
      <w:pPr>
        <w:spacing w:before="280" w:after="280" w:line="360" w:lineRule="auto"/>
        <w:ind w:firstLine="708"/>
        <w:jc w:val="both"/>
        <w:rPr>
          <w:rFonts w:ascii="Times New Roman" w:eastAsia="Verdana" w:hAnsi="Times New Roman" w:cs="Times New Roman"/>
          <w:sz w:val="28"/>
          <w:szCs w:val="28"/>
        </w:rPr>
      </w:pPr>
      <w:r>
        <w:rPr>
          <w:rFonts w:ascii="Times New Roman" w:eastAsia="Verdana" w:hAnsi="Times New Roman" w:cs="Times New Roman"/>
          <w:sz w:val="28"/>
          <w:szCs w:val="28"/>
        </w:rPr>
        <w:lastRenderedPageBreak/>
        <w:t xml:space="preserve">  </w:t>
      </w:r>
      <w:r>
        <w:rPr>
          <w:rFonts w:ascii="Times New Roman" w:eastAsia="Verdana" w:hAnsi="Times New Roman" w:cs="Times New Roman"/>
          <w:sz w:val="28"/>
          <w:szCs w:val="28"/>
        </w:rPr>
        <w:t xml:space="preserve">          </w:t>
      </w:r>
      <w:r w:rsidRPr="006C14BD">
        <w:rPr>
          <w:rFonts w:ascii="Times New Roman" w:eastAsia="Verdana" w:hAnsi="Times New Roman" w:cs="Times New Roman"/>
          <w:sz w:val="28"/>
          <w:szCs w:val="28"/>
        </w:rPr>
        <w:t>Que los equipos territoriales y el trabajo comunitario (Descentralización de la Municipalidad en tu Barrio), han cobrado un rol central en la intervención social, consolidándose como espacios de proximidad, escucha y articulación con instituciones locales;</w:t>
      </w:r>
    </w:p>
    <w:p w:rsidR="00CF3E0C" w:rsidRDefault="00CF3E0C" w:rsidP="00CF3E0C">
      <w:pPr>
        <w:spacing w:after="0" w:line="360" w:lineRule="auto"/>
        <w:ind w:firstLine="708"/>
        <w:rPr>
          <w:rFonts w:ascii="Times New Roman" w:eastAsia="Verdana" w:hAnsi="Times New Roman" w:cs="Times New Roman"/>
          <w:color w:val="555555"/>
          <w:sz w:val="28"/>
          <w:szCs w:val="28"/>
        </w:rPr>
      </w:pPr>
      <w:r>
        <w:rPr>
          <w:rFonts w:ascii="Times New Roman" w:eastAsia="Verdana" w:hAnsi="Times New Roman" w:cs="Times New Roman"/>
          <w:sz w:val="28"/>
          <w:szCs w:val="28"/>
        </w:rPr>
        <w:t xml:space="preserve">  </w:t>
      </w:r>
      <w:r>
        <w:rPr>
          <w:rFonts w:ascii="Times New Roman" w:eastAsia="Verdana" w:hAnsi="Times New Roman" w:cs="Times New Roman"/>
          <w:sz w:val="28"/>
          <w:szCs w:val="28"/>
        </w:rPr>
        <w:t xml:space="preserve">          </w:t>
      </w:r>
      <w:r w:rsidRPr="006C14BD">
        <w:rPr>
          <w:rFonts w:ascii="Times New Roman" w:eastAsia="Verdana" w:hAnsi="Times New Roman" w:cs="Times New Roman"/>
          <w:sz w:val="28"/>
          <w:szCs w:val="28"/>
        </w:rPr>
        <w:t>Que esta modificación implica no solo un cambio nominal, sino una decisión política y estratégica en pos de mejorar la gestión social y fortalecer el rol del Estado Municipal en el diseño de políticas públicas inclusivas, participativas y orientadas a la equidad pero sobre todo centrada en la persona en su lugar de residencia teniendo en cuenta el contexto socio económico (Un barrio es una subdivisión de una ciudad  que suele tener identidad propia y cuyos habitantes cuentan con un sentido de pertenencia)</w:t>
      </w:r>
      <w:r>
        <w:rPr>
          <w:rFonts w:ascii="Times New Roman" w:eastAsia="Verdana" w:hAnsi="Times New Roman" w:cs="Times New Roman"/>
          <w:color w:val="555555"/>
          <w:sz w:val="28"/>
          <w:szCs w:val="28"/>
        </w:rPr>
        <w:t xml:space="preserve">                                 </w:t>
      </w:r>
    </w:p>
    <w:p w:rsidR="00CF3E0C" w:rsidRDefault="00CF3E0C" w:rsidP="00CF3E0C">
      <w:pPr>
        <w:spacing w:after="0" w:line="360" w:lineRule="auto"/>
        <w:ind w:firstLine="708"/>
        <w:rPr>
          <w:rFonts w:ascii="Times New Roman" w:eastAsia="Verdana" w:hAnsi="Times New Roman" w:cs="Times New Roman"/>
          <w:sz w:val="28"/>
          <w:szCs w:val="28"/>
        </w:rPr>
      </w:pPr>
      <w:r>
        <w:rPr>
          <w:rFonts w:ascii="Times New Roman" w:eastAsia="Verdana" w:hAnsi="Times New Roman" w:cs="Times New Roman"/>
          <w:color w:val="555555"/>
          <w:sz w:val="28"/>
          <w:szCs w:val="28"/>
        </w:rPr>
        <w:t xml:space="preserve">             </w:t>
      </w:r>
      <w:r>
        <w:rPr>
          <w:rFonts w:ascii="Times New Roman" w:eastAsia="Verdana" w:hAnsi="Times New Roman" w:cs="Times New Roman"/>
          <w:sz w:val="28"/>
          <w:szCs w:val="28"/>
        </w:rPr>
        <w:t xml:space="preserve">Por </w:t>
      </w:r>
      <w:r w:rsidRPr="006C14BD">
        <w:rPr>
          <w:rFonts w:ascii="Times New Roman" w:eastAsia="Verdana" w:hAnsi="Times New Roman" w:cs="Times New Roman"/>
          <w:sz w:val="28"/>
          <w:szCs w:val="28"/>
        </w:rPr>
        <w:t>ello,</w:t>
      </w:r>
    </w:p>
    <w:p w:rsidR="00CF3E0C" w:rsidRDefault="00CF3E0C" w:rsidP="00CF3E0C">
      <w:pPr>
        <w:spacing w:after="0" w:line="360" w:lineRule="auto"/>
        <w:jc w:val="center"/>
        <w:rPr>
          <w:rFonts w:ascii="Times New Roman" w:eastAsia="Verdana" w:hAnsi="Times New Roman" w:cs="Times New Roman"/>
          <w:b/>
          <w:sz w:val="32"/>
          <w:szCs w:val="28"/>
        </w:rPr>
      </w:pPr>
      <w:r w:rsidRPr="006C14BD">
        <w:rPr>
          <w:rFonts w:ascii="Times New Roman" w:eastAsia="Verdana" w:hAnsi="Times New Roman" w:cs="Times New Roman"/>
          <w:b/>
          <w:sz w:val="32"/>
          <w:szCs w:val="28"/>
        </w:rPr>
        <w:t>EL CONCEJO DELIBERANTE DE LA MUNICIPALIDAD</w:t>
      </w:r>
    </w:p>
    <w:p w:rsidR="00CF3E0C" w:rsidRDefault="00CF3E0C" w:rsidP="00CF3E0C">
      <w:pPr>
        <w:spacing w:after="0" w:line="360" w:lineRule="auto"/>
        <w:jc w:val="center"/>
        <w:rPr>
          <w:rFonts w:ascii="Times New Roman" w:eastAsia="Verdana" w:hAnsi="Times New Roman" w:cs="Times New Roman"/>
          <w:b/>
          <w:sz w:val="32"/>
          <w:szCs w:val="28"/>
        </w:rPr>
      </w:pPr>
      <w:r w:rsidRPr="006C14BD">
        <w:rPr>
          <w:rFonts w:ascii="Times New Roman" w:eastAsia="Verdana" w:hAnsi="Times New Roman" w:cs="Times New Roman"/>
          <w:b/>
          <w:sz w:val="32"/>
          <w:szCs w:val="28"/>
        </w:rPr>
        <w:t>DE TANTI SANCIONA CON FUERZA DE</w:t>
      </w:r>
    </w:p>
    <w:p w:rsidR="00CF3E0C" w:rsidRPr="006C14BD" w:rsidRDefault="00CF3E0C" w:rsidP="00CF3E0C">
      <w:pPr>
        <w:spacing w:after="0" w:line="360" w:lineRule="auto"/>
        <w:jc w:val="center"/>
        <w:rPr>
          <w:rFonts w:ascii="Times New Roman" w:eastAsia="Verdana" w:hAnsi="Times New Roman" w:cs="Times New Roman"/>
          <w:b/>
          <w:sz w:val="32"/>
          <w:szCs w:val="28"/>
        </w:rPr>
      </w:pPr>
      <w:r w:rsidRPr="006C14BD">
        <w:rPr>
          <w:rFonts w:ascii="Times New Roman" w:eastAsia="Verdana" w:hAnsi="Times New Roman" w:cs="Times New Roman"/>
          <w:b/>
          <w:sz w:val="32"/>
          <w:szCs w:val="28"/>
        </w:rPr>
        <w:t>ORDENANZA:</w:t>
      </w:r>
    </w:p>
    <w:p w:rsidR="00CF3E0C" w:rsidRPr="006C14BD" w:rsidRDefault="00CF3E0C" w:rsidP="00CF3E0C">
      <w:pPr>
        <w:spacing w:before="280" w:after="280" w:line="360" w:lineRule="auto"/>
        <w:jc w:val="both"/>
        <w:rPr>
          <w:rFonts w:ascii="Times New Roman" w:eastAsia="Verdana" w:hAnsi="Times New Roman" w:cs="Times New Roman"/>
          <w:i/>
          <w:sz w:val="28"/>
          <w:szCs w:val="28"/>
        </w:rPr>
      </w:pPr>
      <w:r w:rsidRPr="006C14BD">
        <w:rPr>
          <w:rFonts w:ascii="Times New Roman" w:eastAsia="Verdana" w:hAnsi="Times New Roman" w:cs="Times New Roman"/>
          <w:sz w:val="28"/>
          <w:szCs w:val="28"/>
        </w:rPr>
        <w:t>Artículo 1º: MODIFÍQUESE el Artículo 10 de la Ordenanza N° 1438 el que quedará redactado de la siguiente manera: “</w:t>
      </w:r>
      <w:r w:rsidRPr="006C14BD">
        <w:rPr>
          <w:rFonts w:ascii="Times New Roman" w:eastAsia="Verdana" w:hAnsi="Times New Roman" w:cs="Times New Roman"/>
          <w:i/>
          <w:sz w:val="28"/>
          <w:szCs w:val="28"/>
        </w:rPr>
        <w:t>Artículo 10º: La Administración Pública de la Municipalidad de TANTI se estructura de la siguiente forma:</w:t>
      </w:r>
    </w:p>
    <w:p w:rsidR="00CF3E0C" w:rsidRPr="006C14BD" w:rsidRDefault="00CF3E0C" w:rsidP="00CF3E0C">
      <w:pPr>
        <w:numPr>
          <w:ilvl w:val="0"/>
          <w:numId w:val="1"/>
        </w:numPr>
        <w:spacing w:after="0" w:line="360" w:lineRule="auto"/>
        <w:jc w:val="both"/>
        <w:rPr>
          <w:rFonts w:ascii="Times New Roman" w:hAnsi="Times New Roman" w:cs="Times New Roman"/>
          <w:i/>
          <w:sz w:val="28"/>
          <w:szCs w:val="28"/>
        </w:rPr>
      </w:pPr>
      <w:r w:rsidRPr="006C14BD">
        <w:rPr>
          <w:rFonts w:ascii="Times New Roman" w:eastAsia="Verdana" w:hAnsi="Times New Roman" w:cs="Times New Roman"/>
          <w:i/>
          <w:sz w:val="28"/>
          <w:szCs w:val="28"/>
        </w:rPr>
        <w:t xml:space="preserve">Secretaria de Gobierno </w:t>
      </w:r>
    </w:p>
    <w:p w:rsidR="00CF3E0C" w:rsidRPr="006C14BD" w:rsidRDefault="00CF3E0C" w:rsidP="00CF3E0C">
      <w:pPr>
        <w:numPr>
          <w:ilvl w:val="0"/>
          <w:numId w:val="1"/>
        </w:numPr>
        <w:spacing w:after="0" w:line="360" w:lineRule="auto"/>
        <w:jc w:val="both"/>
        <w:rPr>
          <w:rFonts w:ascii="Times New Roman" w:hAnsi="Times New Roman" w:cs="Times New Roman"/>
          <w:i/>
          <w:sz w:val="28"/>
          <w:szCs w:val="28"/>
        </w:rPr>
      </w:pPr>
      <w:r w:rsidRPr="006C14BD">
        <w:rPr>
          <w:rFonts w:ascii="Times New Roman" w:eastAsia="Verdana" w:hAnsi="Times New Roman" w:cs="Times New Roman"/>
          <w:i/>
          <w:sz w:val="28"/>
          <w:szCs w:val="28"/>
        </w:rPr>
        <w:t>Secretaria de Turismo, Cultura, Deporte y Educación</w:t>
      </w:r>
    </w:p>
    <w:p w:rsidR="00CF3E0C" w:rsidRPr="006C14BD" w:rsidRDefault="00CF3E0C" w:rsidP="00CF3E0C">
      <w:pPr>
        <w:numPr>
          <w:ilvl w:val="0"/>
          <w:numId w:val="1"/>
        </w:numPr>
        <w:spacing w:after="0" w:line="360" w:lineRule="auto"/>
        <w:jc w:val="both"/>
        <w:rPr>
          <w:rFonts w:ascii="Times New Roman" w:hAnsi="Times New Roman" w:cs="Times New Roman"/>
          <w:i/>
          <w:sz w:val="28"/>
          <w:szCs w:val="28"/>
        </w:rPr>
      </w:pPr>
      <w:r w:rsidRPr="006C14BD">
        <w:rPr>
          <w:rFonts w:ascii="Times New Roman" w:eastAsia="Verdana" w:hAnsi="Times New Roman" w:cs="Times New Roman"/>
          <w:i/>
          <w:sz w:val="28"/>
          <w:szCs w:val="28"/>
        </w:rPr>
        <w:t xml:space="preserve">Secretaria de Obras y Servicios Públicos </w:t>
      </w:r>
    </w:p>
    <w:p w:rsidR="00CF3E0C" w:rsidRPr="006C14BD" w:rsidRDefault="00CF3E0C" w:rsidP="00CF3E0C">
      <w:pPr>
        <w:numPr>
          <w:ilvl w:val="0"/>
          <w:numId w:val="1"/>
        </w:numPr>
        <w:spacing w:after="0" w:line="360" w:lineRule="auto"/>
        <w:jc w:val="both"/>
        <w:rPr>
          <w:rFonts w:ascii="Times New Roman" w:hAnsi="Times New Roman" w:cs="Times New Roman"/>
          <w:i/>
          <w:sz w:val="28"/>
          <w:szCs w:val="28"/>
        </w:rPr>
      </w:pPr>
      <w:r w:rsidRPr="006C14BD">
        <w:rPr>
          <w:rFonts w:ascii="Times New Roman" w:eastAsia="Verdana" w:hAnsi="Times New Roman" w:cs="Times New Roman"/>
          <w:i/>
          <w:sz w:val="28"/>
          <w:szCs w:val="28"/>
        </w:rPr>
        <w:t>Dirección de Políticas Sociales</w:t>
      </w:r>
    </w:p>
    <w:p w:rsidR="00CF3E0C" w:rsidRPr="006C14BD" w:rsidRDefault="00CF3E0C" w:rsidP="00CF3E0C">
      <w:pPr>
        <w:numPr>
          <w:ilvl w:val="0"/>
          <w:numId w:val="1"/>
        </w:numPr>
        <w:spacing w:after="0" w:line="360" w:lineRule="auto"/>
        <w:jc w:val="both"/>
        <w:rPr>
          <w:rFonts w:ascii="Times New Roman" w:hAnsi="Times New Roman" w:cs="Times New Roman"/>
          <w:i/>
          <w:sz w:val="28"/>
          <w:szCs w:val="28"/>
        </w:rPr>
      </w:pPr>
      <w:r w:rsidRPr="006C14BD">
        <w:rPr>
          <w:rFonts w:ascii="Times New Roman" w:eastAsia="Verdana" w:hAnsi="Times New Roman" w:cs="Times New Roman"/>
          <w:i/>
          <w:sz w:val="28"/>
          <w:szCs w:val="28"/>
        </w:rPr>
        <w:t>Dirección de Salud Pública</w:t>
      </w:r>
    </w:p>
    <w:p w:rsidR="00CF3E0C" w:rsidRPr="006C14BD" w:rsidRDefault="00CF3E0C" w:rsidP="00CF3E0C">
      <w:pPr>
        <w:numPr>
          <w:ilvl w:val="0"/>
          <w:numId w:val="1"/>
        </w:numPr>
        <w:spacing w:after="0" w:line="360" w:lineRule="auto"/>
        <w:jc w:val="both"/>
        <w:rPr>
          <w:rFonts w:ascii="Times New Roman" w:hAnsi="Times New Roman" w:cs="Times New Roman"/>
          <w:i/>
          <w:sz w:val="28"/>
          <w:szCs w:val="28"/>
        </w:rPr>
      </w:pPr>
      <w:r w:rsidRPr="006C14BD">
        <w:rPr>
          <w:rFonts w:ascii="Times New Roman" w:eastAsia="Verdana" w:hAnsi="Times New Roman" w:cs="Times New Roman"/>
          <w:i/>
          <w:sz w:val="28"/>
          <w:szCs w:val="28"/>
        </w:rPr>
        <w:t>Dirección de Ambiente y Desarrollo Productivo</w:t>
      </w:r>
    </w:p>
    <w:p w:rsidR="00CF3E0C" w:rsidRPr="006C14BD" w:rsidRDefault="00CF3E0C" w:rsidP="00CF3E0C">
      <w:pPr>
        <w:numPr>
          <w:ilvl w:val="0"/>
          <w:numId w:val="1"/>
        </w:numPr>
        <w:spacing w:after="0" w:line="360" w:lineRule="auto"/>
        <w:jc w:val="both"/>
        <w:rPr>
          <w:rFonts w:ascii="Times New Roman" w:hAnsi="Times New Roman" w:cs="Times New Roman"/>
          <w:i/>
          <w:sz w:val="28"/>
          <w:szCs w:val="28"/>
        </w:rPr>
      </w:pPr>
      <w:r w:rsidRPr="006C14BD">
        <w:rPr>
          <w:rFonts w:ascii="Times New Roman" w:eastAsia="Verdana" w:hAnsi="Times New Roman" w:cs="Times New Roman"/>
          <w:i/>
          <w:sz w:val="28"/>
          <w:szCs w:val="28"/>
        </w:rPr>
        <w:t>Dirección de Turismo</w:t>
      </w:r>
    </w:p>
    <w:p w:rsidR="00CF3E0C" w:rsidRPr="006C14BD" w:rsidRDefault="00CF3E0C" w:rsidP="00CF3E0C">
      <w:pPr>
        <w:numPr>
          <w:ilvl w:val="0"/>
          <w:numId w:val="1"/>
        </w:numPr>
        <w:spacing w:after="0" w:line="360" w:lineRule="auto"/>
        <w:jc w:val="both"/>
        <w:rPr>
          <w:rFonts w:ascii="Times New Roman" w:hAnsi="Times New Roman" w:cs="Times New Roman"/>
          <w:i/>
          <w:sz w:val="28"/>
          <w:szCs w:val="28"/>
        </w:rPr>
      </w:pPr>
      <w:r w:rsidRPr="006C14BD">
        <w:rPr>
          <w:rFonts w:ascii="Times New Roman" w:eastAsia="Verdana" w:hAnsi="Times New Roman" w:cs="Times New Roman"/>
          <w:i/>
          <w:sz w:val="28"/>
          <w:szCs w:val="28"/>
        </w:rPr>
        <w:t>Dirección de Deportes</w:t>
      </w:r>
    </w:p>
    <w:p w:rsidR="00CF3E0C" w:rsidRPr="006C14BD" w:rsidRDefault="00CF3E0C" w:rsidP="00CF3E0C">
      <w:pPr>
        <w:numPr>
          <w:ilvl w:val="0"/>
          <w:numId w:val="1"/>
        </w:numPr>
        <w:spacing w:after="0" w:line="360" w:lineRule="auto"/>
        <w:jc w:val="both"/>
        <w:rPr>
          <w:rFonts w:ascii="Times New Roman" w:hAnsi="Times New Roman" w:cs="Times New Roman"/>
          <w:i/>
          <w:sz w:val="28"/>
          <w:szCs w:val="28"/>
        </w:rPr>
      </w:pPr>
      <w:r w:rsidRPr="006C14BD">
        <w:rPr>
          <w:rFonts w:ascii="Times New Roman" w:eastAsia="Verdana" w:hAnsi="Times New Roman" w:cs="Times New Roman"/>
          <w:i/>
          <w:sz w:val="28"/>
          <w:szCs w:val="28"/>
        </w:rPr>
        <w:t>Dirección de Seguridad Ciudadana e Inspectoría General</w:t>
      </w:r>
    </w:p>
    <w:p w:rsidR="00CF3E0C" w:rsidRPr="006C14BD" w:rsidRDefault="00CF3E0C" w:rsidP="00CF3E0C">
      <w:pPr>
        <w:numPr>
          <w:ilvl w:val="0"/>
          <w:numId w:val="1"/>
        </w:numPr>
        <w:spacing w:after="0" w:line="360" w:lineRule="auto"/>
        <w:jc w:val="both"/>
        <w:rPr>
          <w:rFonts w:ascii="Times New Roman" w:hAnsi="Times New Roman" w:cs="Times New Roman"/>
          <w:i/>
          <w:sz w:val="28"/>
          <w:szCs w:val="28"/>
        </w:rPr>
      </w:pPr>
      <w:r w:rsidRPr="006C14BD">
        <w:rPr>
          <w:rFonts w:ascii="Times New Roman" w:eastAsia="Verdana" w:hAnsi="Times New Roman" w:cs="Times New Roman"/>
          <w:i/>
          <w:sz w:val="28"/>
          <w:szCs w:val="28"/>
        </w:rPr>
        <w:t>Asesoría Letrada</w:t>
      </w:r>
    </w:p>
    <w:p w:rsidR="00CF3E0C" w:rsidRPr="006C14BD" w:rsidRDefault="00CF3E0C" w:rsidP="00CF3E0C">
      <w:pPr>
        <w:numPr>
          <w:ilvl w:val="0"/>
          <w:numId w:val="1"/>
        </w:numPr>
        <w:pBdr>
          <w:top w:val="nil"/>
          <w:left w:val="nil"/>
          <w:bottom w:val="nil"/>
          <w:right w:val="nil"/>
          <w:between w:val="nil"/>
        </w:pBdr>
        <w:spacing w:after="0" w:line="360" w:lineRule="auto"/>
        <w:jc w:val="both"/>
        <w:rPr>
          <w:rFonts w:ascii="Times New Roman" w:hAnsi="Times New Roman" w:cs="Times New Roman"/>
          <w:i/>
          <w:color w:val="000000"/>
          <w:sz w:val="28"/>
          <w:szCs w:val="28"/>
        </w:rPr>
      </w:pPr>
      <w:r w:rsidRPr="006C14BD">
        <w:rPr>
          <w:rFonts w:ascii="Times New Roman" w:eastAsia="Verdana" w:hAnsi="Times New Roman" w:cs="Times New Roman"/>
          <w:i/>
          <w:color w:val="000000"/>
          <w:sz w:val="28"/>
          <w:szCs w:val="28"/>
        </w:rPr>
        <w:t>Área de Recursos Humanos</w:t>
      </w:r>
    </w:p>
    <w:p w:rsidR="00CF3E0C" w:rsidRPr="006C14BD" w:rsidRDefault="00CF3E0C" w:rsidP="00CF3E0C">
      <w:pPr>
        <w:numPr>
          <w:ilvl w:val="0"/>
          <w:numId w:val="1"/>
        </w:numPr>
        <w:pBdr>
          <w:top w:val="nil"/>
          <w:left w:val="nil"/>
          <w:bottom w:val="nil"/>
          <w:right w:val="nil"/>
          <w:between w:val="nil"/>
        </w:pBdr>
        <w:spacing w:after="0" w:line="360" w:lineRule="auto"/>
        <w:jc w:val="both"/>
        <w:rPr>
          <w:rFonts w:ascii="Times New Roman" w:hAnsi="Times New Roman" w:cs="Times New Roman"/>
          <w:i/>
          <w:color w:val="000000"/>
          <w:sz w:val="28"/>
          <w:szCs w:val="28"/>
        </w:rPr>
      </w:pPr>
      <w:r w:rsidRPr="006C14BD">
        <w:rPr>
          <w:rFonts w:ascii="Times New Roman" w:eastAsia="Verdana" w:hAnsi="Times New Roman" w:cs="Times New Roman"/>
          <w:i/>
          <w:color w:val="000000"/>
          <w:sz w:val="28"/>
          <w:szCs w:val="28"/>
        </w:rPr>
        <w:t>Área de Tesorería</w:t>
      </w:r>
    </w:p>
    <w:p w:rsidR="00CF3E0C" w:rsidRPr="006C14BD" w:rsidRDefault="00CF3E0C" w:rsidP="00CF3E0C">
      <w:pPr>
        <w:widowControl w:val="0"/>
        <w:numPr>
          <w:ilvl w:val="0"/>
          <w:numId w:val="1"/>
        </w:numPr>
        <w:spacing w:before="9" w:after="0" w:line="360" w:lineRule="auto"/>
        <w:ind w:right="-74"/>
        <w:rPr>
          <w:rFonts w:ascii="Times New Roman" w:hAnsi="Times New Roman" w:cs="Times New Roman"/>
          <w:i/>
          <w:sz w:val="28"/>
          <w:szCs w:val="28"/>
        </w:rPr>
      </w:pPr>
      <w:r w:rsidRPr="006C14BD">
        <w:rPr>
          <w:rFonts w:ascii="Times New Roman" w:eastAsia="Verdana" w:hAnsi="Times New Roman" w:cs="Times New Roman"/>
          <w:i/>
          <w:sz w:val="28"/>
          <w:szCs w:val="28"/>
        </w:rPr>
        <w:t>Área Contaduría, Recaudación y Procuración Extrajudicial</w:t>
      </w:r>
    </w:p>
    <w:p w:rsidR="00CF3E0C" w:rsidRPr="006C14BD" w:rsidRDefault="00CF3E0C" w:rsidP="00CF3E0C">
      <w:pPr>
        <w:numPr>
          <w:ilvl w:val="0"/>
          <w:numId w:val="1"/>
        </w:numPr>
        <w:pBdr>
          <w:top w:val="nil"/>
          <w:left w:val="nil"/>
          <w:bottom w:val="nil"/>
          <w:right w:val="nil"/>
          <w:between w:val="nil"/>
        </w:pBdr>
        <w:spacing w:after="0" w:line="360" w:lineRule="auto"/>
        <w:jc w:val="both"/>
        <w:rPr>
          <w:rFonts w:ascii="Times New Roman" w:hAnsi="Times New Roman" w:cs="Times New Roman"/>
          <w:i/>
          <w:color w:val="000000"/>
          <w:sz w:val="28"/>
          <w:szCs w:val="28"/>
        </w:rPr>
      </w:pPr>
      <w:r w:rsidRPr="006C14BD">
        <w:rPr>
          <w:rFonts w:ascii="Times New Roman" w:eastAsia="Verdana" w:hAnsi="Times New Roman" w:cs="Times New Roman"/>
          <w:i/>
          <w:color w:val="000000"/>
          <w:sz w:val="28"/>
          <w:szCs w:val="28"/>
        </w:rPr>
        <w:t>Área de Servicio de Agua</w:t>
      </w:r>
    </w:p>
    <w:p w:rsidR="00CF3E0C" w:rsidRPr="006C14BD" w:rsidRDefault="00CF3E0C" w:rsidP="00CF3E0C">
      <w:pPr>
        <w:numPr>
          <w:ilvl w:val="0"/>
          <w:numId w:val="1"/>
        </w:numPr>
        <w:pBdr>
          <w:top w:val="nil"/>
          <w:left w:val="nil"/>
          <w:bottom w:val="nil"/>
          <w:right w:val="nil"/>
          <w:between w:val="nil"/>
        </w:pBdr>
        <w:spacing w:after="0" w:line="360" w:lineRule="auto"/>
        <w:jc w:val="both"/>
        <w:rPr>
          <w:rFonts w:ascii="Times New Roman" w:hAnsi="Times New Roman" w:cs="Times New Roman"/>
          <w:i/>
          <w:color w:val="000000"/>
          <w:sz w:val="28"/>
          <w:szCs w:val="28"/>
        </w:rPr>
      </w:pPr>
      <w:r w:rsidRPr="006C14BD">
        <w:rPr>
          <w:rFonts w:ascii="Times New Roman" w:eastAsia="Verdana" w:hAnsi="Times New Roman" w:cs="Times New Roman"/>
          <w:i/>
          <w:color w:val="000000"/>
          <w:sz w:val="28"/>
          <w:szCs w:val="28"/>
        </w:rPr>
        <w:lastRenderedPageBreak/>
        <w:t>Área de Centros Vecinales</w:t>
      </w:r>
    </w:p>
    <w:p w:rsidR="00CF3E0C" w:rsidRPr="006C14BD" w:rsidRDefault="00CF3E0C" w:rsidP="00CF3E0C">
      <w:pPr>
        <w:numPr>
          <w:ilvl w:val="0"/>
          <w:numId w:val="1"/>
        </w:numPr>
        <w:pBdr>
          <w:top w:val="nil"/>
          <w:left w:val="nil"/>
          <w:bottom w:val="nil"/>
          <w:right w:val="nil"/>
          <w:between w:val="nil"/>
        </w:pBdr>
        <w:spacing w:after="0" w:line="360" w:lineRule="auto"/>
        <w:jc w:val="both"/>
        <w:rPr>
          <w:rFonts w:ascii="Times New Roman" w:hAnsi="Times New Roman" w:cs="Times New Roman"/>
          <w:i/>
          <w:color w:val="000000"/>
          <w:sz w:val="28"/>
          <w:szCs w:val="28"/>
        </w:rPr>
      </w:pPr>
      <w:r w:rsidRPr="006C14BD">
        <w:rPr>
          <w:rFonts w:ascii="Times New Roman" w:eastAsia="Verdana" w:hAnsi="Times New Roman" w:cs="Times New Roman"/>
          <w:i/>
          <w:color w:val="000000"/>
          <w:sz w:val="28"/>
          <w:szCs w:val="28"/>
        </w:rPr>
        <w:t>Área Registro Civil</w:t>
      </w:r>
    </w:p>
    <w:p w:rsidR="00CF3E0C" w:rsidRPr="006C14BD" w:rsidRDefault="00CF3E0C" w:rsidP="00CF3E0C">
      <w:pPr>
        <w:widowControl w:val="0"/>
        <w:numPr>
          <w:ilvl w:val="0"/>
          <w:numId w:val="1"/>
        </w:numPr>
        <w:spacing w:before="9" w:after="0" w:line="360" w:lineRule="auto"/>
        <w:ind w:right="-74"/>
        <w:rPr>
          <w:rFonts w:ascii="Times New Roman" w:hAnsi="Times New Roman" w:cs="Times New Roman"/>
          <w:i/>
          <w:sz w:val="28"/>
          <w:szCs w:val="28"/>
        </w:rPr>
      </w:pPr>
      <w:r w:rsidRPr="006C14BD">
        <w:rPr>
          <w:rFonts w:ascii="Times New Roman" w:eastAsia="Verdana" w:hAnsi="Times New Roman" w:cs="Times New Roman"/>
          <w:i/>
          <w:sz w:val="28"/>
          <w:szCs w:val="28"/>
        </w:rPr>
        <w:t>Área Maestranza y Servicios Generales</w:t>
      </w:r>
    </w:p>
    <w:p w:rsidR="00CF3E0C" w:rsidRPr="006C14BD" w:rsidRDefault="00CF3E0C" w:rsidP="00CF3E0C">
      <w:pPr>
        <w:widowControl w:val="0"/>
        <w:numPr>
          <w:ilvl w:val="0"/>
          <w:numId w:val="1"/>
        </w:numPr>
        <w:spacing w:before="9" w:after="0" w:line="360" w:lineRule="auto"/>
        <w:ind w:right="-74"/>
        <w:rPr>
          <w:rFonts w:ascii="Times New Roman" w:hAnsi="Times New Roman" w:cs="Times New Roman"/>
          <w:i/>
          <w:sz w:val="28"/>
          <w:szCs w:val="28"/>
        </w:rPr>
      </w:pPr>
      <w:r w:rsidRPr="006C14BD">
        <w:rPr>
          <w:rFonts w:ascii="Times New Roman" w:eastAsia="Verdana" w:hAnsi="Times New Roman" w:cs="Times New Roman"/>
          <w:i/>
          <w:sz w:val="28"/>
          <w:szCs w:val="28"/>
        </w:rPr>
        <w:t>Área Automotores, Comercio, Industria y Cementerio</w:t>
      </w:r>
    </w:p>
    <w:p w:rsidR="00CF3E0C" w:rsidRPr="006C14BD" w:rsidRDefault="00CF3E0C" w:rsidP="00CF3E0C">
      <w:pPr>
        <w:widowControl w:val="0"/>
        <w:numPr>
          <w:ilvl w:val="0"/>
          <w:numId w:val="1"/>
        </w:numPr>
        <w:spacing w:before="9" w:after="0" w:line="360" w:lineRule="auto"/>
        <w:ind w:right="-74"/>
        <w:rPr>
          <w:rFonts w:ascii="Times New Roman" w:hAnsi="Times New Roman" w:cs="Times New Roman"/>
          <w:sz w:val="28"/>
          <w:szCs w:val="28"/>
        </w:rPr>
      </w:pPr>
      <w:r w:rsidRPr="006C14BD">
        <w:rPr>
          <w:rFonts w:ascii="Times New Roman" w:eastAsia="Verdana" w:hAnsi="Times New Roman" w:cs="Times New Roman"/>
          <w:i/>
          <w:sz w:val="28"/>
          <w:szCs w:val="28"/>
        </w:rPr>
        <w:t>Área Cómputos</w:t>
      </w:r>
      <w:r w:rsidRPr="006C14BD">
        <w:rPr>
          <w:rFonts w:ascii="Times New Roman" w:eastAsia="Verdana" w:hAnsi="Times New Roman" w:cs="Times New Roman"/>
          <w:sz w:val="28"/>
          <w:szCs w:val="28"/>
        </w:rPr>
        <w:t>”</w:t>
      </w:r>
    </w:p>
    <w:p w:rsidR="00CF3E0C" w:rsidRPr="006C14BD" w:rsidRDefault="00CF3E0C" w:rsidP="00CF3E0C">
      <w:pPr>
        <w:spacing w:line="360" w:lineRule="auto"/>
        <w:jc w:val="both"/>
        <w:rPr>
          <w:rFonts w:ascii="Times New Roman" w:eastAsia="Verdana" w:hAnsi="Times New Roman" w:cs="Times New Roman"/>
          <w:sz w:val="28"/>
          <w:szCs w:val="28"/>
          <w:u w:val="single"/>
        </w:rPr>
      </w:pPr>
    </w:p>
    <w:p w:rsidR="00CF3E0C" w:rsidRPr="006C14BD" w:rsidRDefault="00CF3E0C" w:rsidP="00CF3E0C">
      <w:pPr>
        <w:spacing w:line="360" w:lineRule="auto"/>
        <w:jc w:val="both"/>
        <w:rPr>
          <w:rFonts w:ascii="Times New Roman" w:eastAsia="Verdana" w:hAnsi="Times New Roman" w:cs="Times New Roman"/>
          <w:sz w:val="28"/>
          <w:szCs w:val="28"/>
        </w:rPr>
      </w:pPr>
      <w:r w:rsidRPr="006C14BD">
        <w:rPr>
          <w:rFonts w:ascii="Times New Roman" w:eastAsia="Verdana" w:hAnsi="Times New Roman" w:cs="Times New Roman"/>
          <w:sz w:val="28"/>
          <w:szCs w:val="28"/>
        </w:rPr>
        <w:t>Artículo 2º: MODIFÍQUESE el Artículo 14 de la Ordenanza N° 1438 el que quedará redactado de la siguiente manera: “</w:t>
      </w:r>
      <w:r w:rsidRPr="006C14BD">
        <w:rPr>
          <w:rFonts w:ascii="Times New Roman" w:eastAsia="Verdana" w:hAnsi="Times New Roman" w:cs="Times New Roman"/>
          <w:i/>
          <w:sz w:val="28"/>
          <w:szCs w:val="28"/>
        </w:rPr>
        <w:t>Artículo 14º: Corresponde a la competencia funcional de la DIRECCIÓN DE POLÍTICAS SOCIALES:…………..”.</w:t>
      </w:r>
    </w:p>
    <w:p w:rsidR="00CF3E0C" w:rsidRPr="006C14BD" w:rsidRDefault="00CF3E0C" w:rsidP="00CF3E0C">
      <w:pPr>
        <w:spacing w:before="280" w:after="280" w:line="360" w:lineRule="auto"/>
        <w:jc w:val="both"/>
        <w:rPr>
          <w:rFonts w:ascii="Times New Roman" w:eastAsia="Verdana" w:hAnsi="Times New Roman" w:cs="Times New Roman"/>
          <w:sz w:val="28"/>
          <w:szCs w:val="28"/>
        </w:rPr>
      </w:pPr>
      <w:r w:rsidRPr="006C14BD">
        <w:rPr>
          <w:rFonts w:ascii="Times New Roman" w:eastAsia="Verdana" w:hAnsi="Times New Roman" w:cs="Times New Roman"/>
          <w:sz w:val="28"/>
          <w:szCs w:val="28"/>
        </w:rPr>
        <w:t xml:space="preserve">Artículo 3º: La nueva denominación comprenderá la continuidad de los programas, proyectos y funciones actualmente en ejecución, así como la progresiva adecuación de sus estrategias de intervención a una lógica de políticas públicas con enfoque territorial, comunitario y de derechos. En esta nueva estrategia de abordaje se busca profundizar la atención de Personas Mayores en la promoción de sus derechos y acompañamiento personalizado, como así también en cuestiones de discapacidad, niños, niñas y adolescentes; violencia de género y familias vulnerables, salud mental, etc. siempre en coordinación con el Centro de Salud Local, de manera tal que el Municipio utilice todos sus recursos humanos según requiera la cuestión en favor de los </w:t>
      </w:r>
      <w:proofErr w:type="gramStart"/>
      <w:r w:rsidRPr="006C14BD">
        <w:rPr>
          <w:rFonts w:ascii="Times New Roman" w:eastAsia="Verdana" w:hAnsi="Times New Roman" w:cs="Times New Roman"/>
          <w:sz w:val="28"/>
          <w:szCs w:val="28"/>
        </w:rPr>
        <w:t>vecinos</w:t>
      </w:r>
      <w:proofErr w:type="gramEnd"/>
    </w:p>
    <w:p w:rsidR="00CF3E0C" w:rsidRPr="006C14BD" w:rsidRDefault="00CF3E0C" w:rsidP="00CF3E0C">
      <w:pPr>
        <w:spacing w:before="280" w:after="280" w:line="360" w:lineRule="auto"/>
        <w:jc w:val="both"/>
        <w:rPr>
          <w:rFonts w:ascii="Times New Roman" w:eastAsia="Verdana" w:hAnsi="Times New Roman" w:cs="Times New Roman"/>
          <w:sz w:val="28"/>
          <w:szCs w:val="28"/>
        </w:rPr>
      </w:pPr>
      <w:r w:rsidRPr="006C14BD">
        <w:rPr>
          <w:rFonts w:ascii="Times New Roman" w:eastAsia="Verdana" w:hAnsi="Times New Roman" w:cs="Times New Roman"/>
          <w:sz w:val="28"/>
          <w:szCs w:val="28"/>
        </w:rPr>
        <w:t>Artículo 4º: INSTRÚYASE al Departamento Ejecutivo Municipal a realizar las adecuaciones administrativas, comunicacionales e institucionales necesarias para la implementación de la presente ordenanza.</w:t>
      </w:r>
    </w:p>
    <w:p w:rsidR="00CF3E0C" w:rsidRPr="006C14BD" w:rsidRDefault="00CF3E0C" w:rsidP="00CF3E0C">
      <w:pPr>
        <w:spacing w:before="280" w:after="280" w:line="360" w:lineRule="auto"/>
        <w:jc w:val="both"/>
        <w:rPr>
          <w:rFonts w:ascii="Times New Roman" w:eastAsia="Verdana" w:hAnsi="Times New Roman" w:cs="Times New Roman"/>
          <w:sz w:val="28"/>
          <w:szCs w:val="28"/>
        </w:rPr>
      </w:pPr>
      <w:r w:rsidRPr="006C14BD">
        <w:rPr>
          <w:rFonts w:ascii="Times New Roman" w:eastAsia="Verdana" w:hAnsi="Times New Roman" w:cs="Times New Roman"/>
          <w:sz w:val="28"/>
          <w:szCs w:val="28"/>
        </w:rPr>
        <w:t>Artículo 5º: COMUNÍQUESE, Promúlguese, Publíquese y archívese.</w:t>
      </w:r>
    </w:p>
    <w:p w:rsidR="00A9223F" w:rsidRDefault="00A9223F">
      <w:pPr>
        <w:rPr>
          <w:rFonts w:ascii="Times New Roman" w:eastAsia="Verdana" w:hAnsi="Times New Roman" w:cs="Times New Roman"/>
          <w:sz w:val="28"/>
          <w:szCs w:val="28"/>
        </w:rPr>
      </w:pPr>
    </w:p>
    <w:p w:rsidR="00CF3E0C" w:rsidRPr="00CF3E0C" w:rsidRDefault="00CF3E0C" w:rsidP="00CF3E0C">
      <w:pPr>
        <w:spacing w:after="0" w:line="240" w:lineRule="auto"/>
        <w:rPr>
          <w:rFonts w:ascii="Times New Roman" w:eastAsia="Verdana" w:hAnsi="Times New Roman" w:cs="Times New Roman"/>
          <w:szCs w:val="28"/>
        </w:rPr>
      </w:pPr>
      <w:bookmarkStart w:id="0" w:name="_GoBack"/>
      <w:r w:rsidRPr="00CF3E0C">
        <w:rPr>
          <w:rFonts w:ascii="Times New Roman" w:eastAsia="Verdana" w:hAnsi="Times New Roman" w:cs="Times New Roman"/>
          <w:szCs w:val="28"/>
        </w:rPr>
        <w:t xml:space="preserve">Dada en Sala de </w:t>
      </w:r>
    </w:p>
    <w:p w:rsidR="00CF3E0C" w:rsidRPr="00CF3E0C" w:rsidRDefault="00CF3E0C" w:rsidP="00CF3E0C">
      <w:pPr>
        <w:spacing w:after="0" w:line="240" w:lineRule="auto"/>
        <w:rPr>
          <w:rFonts w:ascii="Times New Roman" w:eastAsia="Verdana" w:hAnsi="Times New Roman" w:cs="Times New Roman"/>
          <w:szCs w:val="28"/>
        </w:rPr>
      </w:pPr>
      <w:r w:rsidRPr="00CF3E0C">
        <w:rPr>
          <w:rFonts w:ascii="Times New Roman" w:eastAsia="Verdana" w:hAnsi="Times New Roman" w:cs="Times New Roman"/>
          <w:szCs w:val="28"/>
        </w:rPr>
        <w:t>Sesiones el 28/07/25</w:t>
      </w:r>
    </w:p>
    <w:p w:rsidR="00CF3E0C" w:rsidRPr="00CF3E0C" w:rsidRDefault="00CF3E0C" w:rsidP="00CF3E0C">
      <w:pPr>
        <w:spacing w:after="0" w:line="240" w:lineRule="auto"/>
        <w:rPr>
          <w:sz w:val="18"/>
        </w:rPr>
      </w:pPr>
      <w:r w:rsidRPr="00CF3E0C">
        <w:rPr>
          <w:rFonts w:ascii="Times New Roman" w:eastAsia="Verdana" w:hAnsi="Times New Roman" w:cs="Times New Roman"/>
          <w:szCs w:val="28"/>
        </w:rPr>
        <w:t>S/ Acta Nº 17</w:t>
      </w:r>
      <w:bookmarkEnd w:id="0"/>
    </w:p>
    <w:sectPr w:rsidR="00CF3E0C" w:rsidRPr="00CF3E0C" w:rsidSect="001665F0">
      <w:headerReference w:type="default" r:id="rId7"/>
      <w:pgSz w:w="12240" w:h="20160" w:code="5"/>
      <w:pgMar w:top="1417" w:right="1701" w:bottom="1417" w:left="1701" w:header="708" w:footer="708" w:gutter="0"/>
      <w:pgNumType w:start="1"/>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03F3" w:rsidRDefault="007603F3" w:rsidP="00CF3E0C">
      <w:pPr>
        <w:spacing w:after="0" w:line="240" w:lineRule="auto"/>
      </w:pPr>
      <w:r>
        <w:separator/>
      </w:r>
    </w:p>
  </w:endnote>
  <w:endnote w:type="continuationSeparator" w:id="0">
    <w:p w:rsidR="007603F3" w:rsidRDefault="007603F3" w:rsidP="00CF3E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03F3" w:rsidRDefault="007603F3" w:rsidP="00CF3E0C">
      <w:pPr>
        <w:spacing w:after="0" w:line="240" w:lineRule="auto"/>
      </w:pPr>
      <w:r>
        <w:separator/>
      </w:r>
    </w:p>
  </w:footnote>
  <w:footnote w:type="continuationSeparator" w:id="0">
    <w:p w:rsidR="007603F3" w:rsidRDefault="007603F3" w:rsidP="00CF3E0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3E0C" w:rsidRDefault="00CF3E0C">
    <w:pPr>
      <w:pStyle w:val="Encabezado"/>
    </w:pPr>
    <w:r>
      <w:rPr>
        <w:noProof/>
      </w:rPr>
      <w:drawing>
        <wp:inline distT="0" distB="0" distL="0" distR="0" wp14:anchorId="6F47A82E" wp14:editId="2B0BD709">
          <wp:extent cx="2808698" cy="685800"/>
          <wp:effectExtent l="0" t="0" r="0" b="0"/>
          <wp:docPr id="1" name="Imagen 1" descr="D:\Users\Secre\Deskto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s\Secre\Desktop\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l="1353" t="22033" b="17627"/>
                  <a:stretch/>
                </pic:blipFill>
                <pic:spPr bwMode="auto">
                  <a:xfrm>
                    <a:off x="0" y="0"/>
                    <a:ext cx="2824152" cy="689573"/>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6A438C"/>
    <w:multiLevelType w:val="multilevel"/>
    <w:tmpl w:val="2F28682A"/>
    <w:lvl w:ilvl="0">
      <w:start w:val="1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D89"/>
    <w:rsid w:val="007603F3"/>
    <w:rsid w:val="007C4E70"/>
    <w:rsid w:val="00A9223F"/>
    <w:rsid w:val="00AC0D89"/>
    <w:rsid w:val="00CF3E0C"/>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9773FF-9CE7-47C9-85F9-AD75D895B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CF3E0C"/>
    <w:rPr>
      <w:rFonts w:ascii="Aptos" w:eastAsia="Aptos" w:hAnsi="Aptos" w:cs="Aptos"/>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F3E0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F3E0C"/>
    <w:rPr>
      <w:rFonts w:ascii="Aptos" w:eastAsia="Aptos" w:hAnsi="Aptos" w:cs="Aptos"/>
      <w:lang w:eastAsia="es-AR"/>
    </w:rPr>
  </w:style>
  <w:style w:type="paragraph" w:styleId="Piedepgina">
    <w:name w:val="footer"/>
    <w:basedOn w:val="Normal"/>
    <w:link w:val="PiedepginaCar"/>
    <w:uiPriority w:val="99"/>
    <w:unhideWhenUsed/>
    <w:rsid w:val="00CF3E0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F3E0C"/>
    <w:rPr>
      <w:rFonts w:ascii="Aptos" w:eastAsia="Aptos" w:hAnsi="Aptos" w:cs="Aptos"/>
      <w:lang w:eastAsia="es-AR"/>
    </w:rPr>
  </w:style>
  <w:style w:type="paragraph" w:styleId="Textodeglobo">
    <w:name w:val="Balloon Text"/>
    <w:basedOn w:val="Normal"/>
    <w:link w:val="TextodegloboCar"/>
    <w:uiPriority w:val="99"/>
    <w:semiHidden/>
    <w:unhideWhenUsed/>
    <w:rsid w:val="00CF3E0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F3E0C"/>
    <w:rPr>
      <w:rFonts w:ascii="Segoe UI" w:eastAsia="Aptos" w:hAnsi="Segoe UI" w:cs="Segoe UI"/>
      <w:sz w:val="18"/>
      <w:szCs w:val="18"/>
      <w:lang w:eastAsia="es-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759</Words>
  <Characters>4177</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dc:creator>
  <cp:keywords/>
  <dc:description/>
  <cp:lastModifiedBy>Secre</cp:lastModifiedBy>
  <cp:revision>2</cp:revision>
  <cp:lastPrinted>2025-07-30T12:56:00Z</cp:lastPrinted>
  <dcterms:created xsi:type="dcterms:W3CDTF">2025-07-30T12:50:00Z</dcterms:created>
  <dcterms:modified xsi:type="dcterms:W3CDTF">2025-07-30T13:02:00Z</dcterms:modified>
</cp:coreProperties>
</file>