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3E83" w:rsidRPr="00513E83" w:rsidRDefault="00181BFD" w:rsidP="00780511">
      <w:pPr>
        <w:spacing w:line="240" w:lineRule="auto"/>
        <w:jc w:val="center"/>
        <w:rPr>
          <w:rFonts w:ascii="Times New Roman" w:eastAsia="Times New Roman" w:hAnsi="Times New Roman" w:cs="Times New Roman"/>
          <w:b/>
          <w:bCs/>
          <w:sz w:val="40"/>
          <w:szCs w:val="32"/>
          <w:lang w:val="es-ES"/>
        </w:rPr>
      </w:pPr>
      <w:r>
        <w:rPr>
          <w:rFonts w:ascii="Times New Roman" w:eastAsia="Times New Roman" w:hAnsi="Times New Roman" w:cs="Times New Roman"/>
          <w:b/>
          <w:bCs/>
          <w:sz w:val="40"/>
          <w:szCs w:val="32"/>
          <w:lang w:val="es-ES"/>
        </w:rPr>
        <w:t>ORDENANZA Nº 1557/26</w:t>
      </w:r>
    </w:p>
    <w:p w:rsidR="00513E83" w:rsidRDefault="00513E83" w:rsidP="00780511">
      <w:pPr>
        <w:spacing w:line="240" w:lineRule="auto"/>
        <w:jc w:val="center"/>
        <w:rPr>
          <w:rFonts w:ascii="Times New Roman" w:eastAsia="Times New Roman" w:hAnsi="Times New Roman" w:cs="Times New Roman"/>
          <w:bCs/>
          <w:szCs w:val="32"/>
          <w:lang w:val="es-ES"/>
        </w:rPr>
      </w:pPr>
      <w:r>
        <w:rPr>
          <w:rFonts w:ascii="Times New Roman" w:eastAsia="Times New Roman" w:hAnsi="Times New Roman" w:cs="Times New Roman"/>
          <w:bCs/>
          <w:szCs w:val="32"/>
          <w:lang w:val="es-ES"/>
        </w:rPr>
        <w:t>“Fondo permanente, tercera etapa”</w:t>
      </w:r>
    </w:p>
    <w:p w:rsidR="00513E83" w:rsidRDefault="00513E83" w:rsidP="00513E83">
      <w:pPr>
        <w:jc w:val="center"/>
        <w:rPr>
          <w:rFonts w:ascii="Times New Roman" w:eastAsia="Times New Roman" w:hAnsi="Times New Roman" w:cs="Times New Roman"/>
          <w:b/>
          <w:bCs/>
          <w:szCs w:val="32"/>
          <w:lang w:val="es-ES"/>
        </w:rPr>
      </w:pPr>
      <w:bookmarkStart w:id="0" w:name="_GoBack"/>
      <w:bookmarkEnd w:id="0"/>
    </w:p>
    <w:p w:rsidR="00513E83" w:rsidRPr="00513E83" w:rsidRDefault="00513E83" w:rsidP="00513E83">
      <w:pPr>
        <w:spacing w:before="240" w:after="240" w:line="360" w:lineRule="auto"/>
        <w:jc w:val="both"/>
        <w:rPr>
          <w:rFonts w:ascii="Times New Roman" w:eastAsia="Times New Roman" w:hAnsi="Times New Roman" w:cs="Times New Roman"/>
          <w:b/>
          <w:bCs/>
          <w:sz w:val="32"/>
          <w:szCs w:val="28"/>
          <w:lang w:val="es-ES"/>
        </w:rPr>
      </w:pPr>
      <w:r w:rsidRPr="00513E83">
        <w:rPr>
          <w:rFonts w:ascii="Times New Roman" w:eastAsia="Times New Roman" w:hAnsi="Times New Roman" w:cs="Times New Roman"/>
          <w:b/>
          <w:bCs/>
          <w:sz w:val="32"/>
          <w:szCs w:val="28"/>
          <w:lang w:val="es-ES"/>
        </w:rPr>
        <w:t>VISTO:</w:t>
      </w:r>
    </w:p>
    <w:p w:rsidR="00513E83" w:rsidRDefault="00513E83" w:rsidP="00513E83">
      <w:pPr>
        <w:spacing w:before="240" w:after="240" w:line="360" w:lineRule="auto"/>
        <w:jc w:val="both"/>
        <w:rPr>
          <w:rFonts w:ascii="Times New Roman" w:eastAsia="Times New Roman" w:hAnsi="Times New Roman" w:cs="Times New Roman"/>
          <w:sz w:val="24"/>
          <w:szCs w:val="24"/>
          <w:lang w:val="es-ES"/>
        </w:rPr>
      </w:pPr>
      <w:r>
        <w:rPr>
          <w:rFonts w:ascii="Times New Roman" w:eastAsia="Times New Roman" w:hAnsi="Times New Roman" w:cs="Times New Roman"/>
          <w:sz w:val="24"/>
          <w:szCs w:val="24"/>
          <w:lang w:val="es-ES"/>
        </w:rPr>
        <w:t xml:space="preserve">       </w:t>
      </w:r>
      <w:r>
        <w:rPr>
          <w:rFonts w:ascii="Times New Roman" w:eastAsia="Times New Roman" w:hAnsi="Times New Roman" w:cs="Times New Roman"/>
          <w:sz w:val="24"/>
          <w:szCs w:val="24"/>
          <w:lang w:val="es-ES"/>
        </w:rPr>
        <w:tab/>
        <w:t xml:space="preserve"> La necesidad de dictar un instrumento legal por parte de este Cuerpo Deliberativo, por el cual la Municipalidad de Tanti solicite la tercera etapa del préstamo del Fondo Permanente para la Financiación de Proyectos y Programas de los Gobiernos Locales de la Provincia de Córdoba, conforme a lo establecido en la Resolución N° 5/2025 de la Unidad de Trabajo Provincia-Municipios y Comunas,</w:t>
      </w:r>
    </w:p>
    <w:p w:rsidR="00513E83" w:rsidRPr="00513E83" w:rsidRDefault="00513E83" w:rsidP="00513E83">
      <w:pPr>
        <w:spacing w:before="240" w:after="240" w:line="360" w:lineRule="auto"/>
        <w:jc w:val="both"/>
        <w:rPr>
          <w:rFonts w:ascii="Times New Roman" w:eastAsia="Times New Roman" w:hAnsi="Times New Roman" w:cs="Times New Roman"/>
          <w:b/>
          <w:bCs/>
          <w:sz w:val="32"/>
          <w:szCs w:val="28"/>
          <w:lang w:val="es-ES"/>
        </w:rPr>
      </w:pPr>
      <w:r w:rsidRPr="00513E83">
        <w:rPr>
          <w:rFonts w:ascii="Times New Roman" w:eastAsia="Times New Roman" w:hAnsi="Times New Roman" w:cs="Times New Roman"/>
          <w:sz w:val="28"/>
          <w:szCs w:val="24"/>
          <w:lang w:val="es-ES"/>
        </w:rPr>
        <w:t xml:space="preserve"> </w:t>
      </w:r>
      <w:r w:rsidRPr="00513E83">
        <w:rPr>
          <w:rFonts w:ascii="Times New Roman" w:eastAsia="Times New Roman" w:hAnsi="Times New Roman" w:cs="Times New Roman"/>
          <w:b/>
          <w:bCs/>
          <w:sz w:val="32"/>
          <w:szCs w:val="28"/>
          <w:lang w:val="es-ES"/>
        </w:rPr>
        <w:t>Y CONSIDERANDO:</w:t>
      </w:r>
    </w:p>
    <w:p w:rsidR="00513E83" w:rsidRDefault="00513E83" w:rsidP="00513E83">
      <w:pPr>
        <w:spacing w:before="240" w:after="240" w:line="360" w:lineRule="auto"/>
        <w:jc w:val="both"/>
        <w:rPr>
          <w:rFonts w:ascii="Times New Roman" w:eastAsia="Times New Roman" w:hAnsi="Times New Roman" w:cs="Times New Roman"/>
          <w:sz w:val="24"/>
          <w:szCs w:val="24"/>
          <w:lang w:val="es-ES"/>
        </w:rPr>
      </w:pPr>
      <w:r>
        <w:rPr>
          <w:rFonts w:ascii="Times New Roman" w:eastAsia="Times New Roman" w:hAnsi="Times New Roman" w:cs="Times New Roman"/>
          <w:lang w:val="es-ES"/>
        </w:rPr>
        <w:t xml:space="preserve">        </w:t>
      </w:r>
      <w:r>
        <w:rPr>
          <w:rFonts w:ascii="Times New Roman" w:eastAsia="Times New Roman" w:hAnsi="Times New Roman" w:cs="Times New Roman"/>
          <w:lang w:val="es-ES"/>
        </w:rPr>
        <w:tab/>
      </w:r>
      <w:r>
        <w:rPr>
          <w:rFonts w:ascii="Times New Roman" w:eastAsia="Times New Roman" w:hAnsi="Times New Roman" w:cs="Times New Roman"/>
          <w:sz w:val="24"/>
          <w:szCs w:val="24"/>
          <w:lang w:val="es-ES"/>
        </w:rPr>
        <w:t>La Resolución N° 5 de fecha 4 de diciembre de 2025 de la Unidad de Trabajo Provincia-Municipios y Comunas que aprueba la tercera etapa del Fondo Permanente para la Financiación de Proyectos y Programas de los Gobiernos Locales de la Provincia de Córdoba.</w:t>
      </w:r>
    </w:p>
    <w:p w:rsidR="00513E83" w:rsidRDefault="00513E83" w:rsidP="00513E83">
      <w:pPr>
        <w:spacing w:before="240" w:after="240" w:line="360" w:lineRule="auto"/>
        <w:ind w:firstLine="720"/>
        <w:jc w:val="both"/>
        <w:rPr>
          <w:rFonts w:ascii="Times New Roman" w:eastAsia="Times New Roman" w:hAnsi="Times New Roman" w:cs="Times New Roman"/>
          <w:sz w:val="24"/>
          <w:szCs w:val="24"/>
          <w:lang w:val="es-ES"/>
        </w:rPr>
      </w:pPr>
      <w:r>
        <w:rPr>
          <w:rFonts w:ascii="Times New Roman" w:eastAsia="Times New Roman" w:hAnsi="Times New Roman" w:cs="Times New Roman"/>
          <w:sz w:val="24"/>
          <w:szCs w:val="24"/>
          <w:lang w:val="es-ES"/>
        </w:rPr>
        <w:t>Que dicho fondo constituye una herramienta financiera destinada a fortalecer la capacidad de inversión de los municipios, permitiendo la ejecución de obras públicas, la adquisición de bienes de capital y/o la consolidación de deudas, en condiciones favorables y con mecanismos de reintegro compatibles con la sostenibilidad financiera local.</w:t>
      </w:r>
    </w:p>
    <w:p w:rsidR="00513E83" w:rsidRDefault="00513E83" w:rsidP="00513E83">
      <w:pPr>
        <w:spacing w:before="240" w:after="240" w:line="360" w:lineRule="auto"/>
        <w:ind w:firstLine="720"/>
        <w:jc w:val="both"/>
        <w:rPr>
          <w:rFonts w:ascii="Times New Roman" w:eastAsia="Times New Roman" w:hAnsi="Times New Roman" w:cs="Times New Roman"/>
          <w:sz w:val="24"/>
          <w:szCs w:val="24"/>
          <w:lang w:val="es-ES"/>
        </w:rPr>
      </w:pPr>
      <w:r>
        <w:rPr>
          <w:rFonts w:ascii="Times New Roman" w:eastAsia="Times New Roman" w:hAnsi="Times New Roman" w:cs="Times New Roman"/>
          <w:sz w:val="24"/>
          <w:szCs w:val="24"/>
          <w:lang w:val="es-ES"/>
        </w:rPr>
        <w:t>Que resulta necesario autorizar al Departamento Ejecutivo Municipal a gestionar y tomar el crédito correspondiente, así como a instrumentar las garantías y cesiones de recursos necesarias para su devolución, conforme a la normativa vigente;</w:t>
      </w:r>
    </w:p>
    <w:p w:rsidR="00513E83" w:rsidRDefault="00513E83" w:rsidP="00513E83">
      <w:pPr>
        <w:spacing w:before="240" w:after="240" w:line="360" w:lineRule="auto"/>
        <w:ind w:firstLine="720"/>
        <w:jc w:val="both"/>
        <w:rPr>
          <w:rFonts w:ascii="Times New Roman" w:eastAsia="Times New Roman" w:hAnsi="Times New Roman" w:cs="Times New Roman"/>
          <w:sz w:val="24"/>
          <w:szCs w:val="24"/>
          <w:lang w:val="es-ES"/>
        </w:rPr>
      </w:pPr>
      <w:r>
        <w:rPr>
          <w:rFonts w:ascii="Times New Roman" w:eastAsia="Times New Roman" w:hAnsi="Times New Roman" w:cs="Times New Roman"/>
          <w:sz w:val="24"/>
          <w:szCs w:val="24"/>
          <w:lang w:val="es-ES"/>
        </w:rPr>
        <w:t>Que este Concejo Deliberante ha considerado y debatido el presente proyecto, entendiendo que el mismo resulta conveniente para el interés general de la comunidad;</w:t>
      </w:r>
    </w:p>
    <w:p w:rsidR="00513E83" w:rsidRDefault="00513E83" w:rsidP="00513E83">
      <w:pPr>
        <w:spacing w:before="240" w:after="240" w:line="360" w:lineRule="auto"/>
        <w:rPr>
          <w:rFonts w:ascii="Times New Roman" w:eastAsia="Times New Roman" w:hAnsi="Times New Roman" w:cs="Times New Roman"/>
          <w:sz w:val="24"/>
          <w:szCs w:val="24"/>
          <w:lang w:val="es-ES"/>
        </w:rPr>
      </w:pPr>
      <w:r>
        <w:rPr>
          <w:rFonts w:ascii="Times New Roman" w:eastAsia="Times New Roman" w:hAnsi="Times New Roman" w:cs="Times New Roman"/>
          <w:sz w:val="24"/>
          <w:szCs w:val="24"/>
          <w:lang w:val="es-ES"/>
        </w:rPr>
        <w:t xml:space="preserve">        </w:t>
      </w:r>
      <w:r>
        <w:rPr>
          <w:rFonts w:ascii="Times New Roman" w:eastAsia="Times New Roman" w:hAnsi="Times New Roman" w:cs="Times New Roman"/>
          <w:sz w:val="24"/>
          <w:szCs w:val="24"/>
          <w:lang w:val="es-ES"/>
        </w:rPr>
        <w:tab/>
        <w:t>Por ello, y en ejercicio de las funciones de su competencia.</w:t>
      </w:r>
    </w:p>
    <w:p w:rsidR="00513E83" w:rsidRDefault="00513E83" w:rsidP="00513E83">
      <w:pPr>
        <w:spacing w:before="240" w:after="240" w:line="360" w:lineRule="auto"/>
        <w:rPr>
          <w:rFonts w:ascii="Times New Roman" w:eastAsia="Times New Roman" w:hAnsi="Times New Roman" w:cs="Times New Roman"/>
          <w:sz w:val="24"/>
          <w:szCs w:val="24"/>
          <w:lang w:val="es-ES"/>
        </w:rPr>
      </w:pPr>
    </w:p>
    <w:p w:rsidR="00513E83" w:rsidRPr="00513E83" w:rsidRDefault="00513E83" w:rsidP="00513E83">
      <w:pPr>
        <w:spacing w:before="240" w:after="240" w:line="240" w:lineRule="auto"/>
        <w:jc w:val="center"/>
        <w:rPr>
          <w:rFonts w:ascii="Times New Roman" w:eastAsia="Times New Roman" w:hAnsi="Times New Roman" w:cs="Times New Roman"/>
          <w:b/>
          <w:bCs/>
          <w:sz w:val="32"/>
          <w:lang w:val="es-ES"/>
        </w:rPr>
      </w:pPr>
      <w:r>
        <w:rPr>
          <w:rFonts w:ascii="Times New Roman" w:eastAsia="Times New Roman" w:hAnsi="Times New Roman" w:cs="Times New Roman"/>
          <w:lang w:val="es-ES"/>
        </w:rPr>
        <w:t xml:space="preserve"> </w:t>
      </w:r>
      <w:r w:rsidRPr="00513E83">
        <w:rPr>
          <w:rFonts w:ascii="Times New Roman" w:eastAsia="Times New Roman" w:hAnsi="Times New Roman" w:cs="Times New Roman"/>
          <w:b/>
          <w:bCs/>
          <w:sz w:val="32"/>
          <w:lang w:val="es-ES"/>
        </w:rPr>
        <w:t xml:space="preserve">EL CONCEJO DELIBERANTE DE LA MUNICIPALIDAD </w:t>
      </w:r>
    </w:p>
    <w:p w:rsidR="00513E83" w:rsidRPr="00513E83" w:rsidRDefault="00513E83" w:rsidP="00513E83">
      <w:pPr>
        <w:spacing w:before="240" w:after="240" w:line="240" w:lineRule="auto"/>
        <w:jc w:val="center"/>
        <w:rPr>
          <w:rFonts w:ascii="Times New Roman" w:eastAsia="Times New Roman" w:hAnsi="Times New Roman" w:cs="Times New Roman"/>
          <w:b/>
          <w:bCs/>
          <w:sz w:val="32"/>
          <w:lang w:val="es-ES"/>
        </w:rPr>
      </w:pPr>
      <w:r w:rsidRPr="00513E83">
        <w:rPr>
          <w:rFonts w:ascii="Times New Roman" w:eastAsia="Times New Roman" w:hAnsi="Times New Roman" w:cs="Times New Roman"/>
          <w:b/>
          <w:bCs/>
          <w:sz w:val="32"/>
          <w:lang w:val="es-ES"/>
        </w:rPr>
        <w:t xml:space="preserve">DE TANTI SANCIONA CON FUERZA DE </w:t>
      </w:r>
    </w:p>
    <w:p w:rsidR="00513E83" w:rsidRPr="00513E83" w:rsidRDefault="00513E83" w:rsidP="00513E83">
      <w:pPr>
        <w:spacing w:before="240" w:after="240" w:line="240" w:lineRule="auto"/>
        <w:jc w:val="center"/>
        <w:rPr>
          <w:rFonts w:ascii="Times New Roman" w:eastAsia="Times New Roman" w:hAnsi="Times New Roman" w:cs="Times New Roman"/>
          <w:b/>
          <w:bCs/>
          <w:sz w:val="32"/>
          <w:lang w:val="es-ES"/>
        </w:rPr>
      </w:pPr>
      <w:r w:rsidRPr="00513E83">
        <w:rPr>
          <w:rFonts w:ascii="Times New Roman" w:eastAsia="Times New Roman" w:hAnsi="Times New Roman" w:cs="Times New Roman"/>
          <w:b/>
          <w:bCs/>
          <w:sz w:val="32"/>
          <w:lang w:val="es-ES"/>
        </w:rPr>
        <w:t>ORDENANZA</w:t>
      </w:r>
    </w:p>
    <w:p w:rsidR="00513E83" w:rsidRPr="00513E83" w:rsidRDefault="00513E83" w:rsidP="00513E83">
      <w:pPr>
        <w:spacing w:before="240" w:after="240" w:line="240" w:lineRule="auto"/>
        <w:jc w:val="center"/>
        <w:rPr>
          <w:rFonts w:ascii="Times New Roman" w:eastAsia="Times New Roman" w:hAnsi="Times New Roman" w:cs="Times New Roman"/>
          <w:b/>
          <w:bCs/>
          <w:sz w:val="2"/>
          <w:lang w:val="es-ES"/>
        </w:rPr>
      </w:pPr>
    </w:p>
    <w:p w:rsidR="00513E83" w:rsidRDefault="00513E83" w:rsidP="00513E83">
      <w:pPr>
        <w:spacing w:before="240" w:after="240" w:line="360" w:lineRule="auto"/>
        <w:jc w:val="both"/>
        <w:rPr>
          <w:rFonts w:ascii="Times New Roman" w:eastAsia="Times New Roman" w:hAnsi="Times New Roman" w:cs="Times New Roman"/>
          <w:sz w:val="24"/>
          <w:szCs w:val="24"/>
        </w:rPr>
      </w:pPr>
      <w:r>
        <w:rPr>
          <w:rFonts w:ascii="Times New Roman" w:eastAsia="Times New Roman" w:hAnsi="Times New Roman" w:cs="Times New Roman"/>
          <w:lang w:val="es-ES"/>
        </w:rPr>
        <w:t xml:space="preserve"> </w:t>
      </w:r>
      <w:r>
        <w:rPr>
          <w:rFonts w:ascii="Times New Roman" w:eastAsia="Times New Roman" w:hAnsi="Times New Roman" w:cs="Times New Roman"/>
          <w:b/>
          <w:bCs/>
          <w:sz w:val="24"/>
          <w:szCs w:val="24"/>
          <w:lang w:val="es-ES"/>
        </w:rPr>
        <w:t xml:space="preserve">ARTÍCULO 1°. - </w:t>
      </w:r>
      <w:r>
        <w:rPr>
          <w:rFonts w:ascii="Times New Roman" w:eastAsia="Times New Roman" w:hAnsi="Times New Roman" w:cs="Times New Roman"/>
          <w:sz w:val="24"/>
          <w:szCs w:val="24"/>
          <w:lang w:val="es-ES"/>
        </w:rPr>
        <w:t>APRUÉBASE el Pago de Proveedores que se incorpora como ANEXO I de esta Ordenanza.</w:t>
      </w:r>
    </w:p>
    <w:p w:rsidR="00513E83" w:rsidRDefault="00513E83" w:rsidP="00513E83">
      <w:pPr>
        <w:spacing w:before="240" w:after="240" w:line="360" w:lineRule="auto"/>
        <w:jc w:val="both"/>
        <w:rPr>
          <w:rFonts w:ascii="Times New Roman" w:eastAsia="Times New Roman" w:hAnsi="Times New Roman" w:cs="Times New Roman"/>
          <w:sz w:val="24"/>
          <w:szCs w:val="24"/>
          <w:lang w:val="es-ES"/>
        </w:rPr>
      </w:pPr>
      <w:r>
        <w:rPr>
          <w:rFonts w:ascii="Times New Roman" w:eastAsia="Times New Roman" w:hAnsi="Times New Roman" w:cs="Times New Roman"/>
          <w:b/>
          <w:bCs/>
          <w:sz w:val="24"/>
          <w:szCs w:val="24"/>
          <w:lang w:val="es-ES"/>
        </w:rPr>
        <w:t>ARTÍCULO 2°. -</w:t>
      </w:r>
      <w:r>
        <w:rPr>
          <w:rFonts w:ascii="Times New Roman" w:eastAsia="Times New Roman" w:hAnsi="Times New Roman" w:cs="Times New Roman"/>
          <w:sz w:val="24"/>
          <w:szCs w:val="24"/>
          <w:lang w:val="es-ES"/>
        </w:rPr>
        <w:t xml:space="preserve"> FACÚLTASE al Departamento Ejecutivo Municipal para que gestione y tome del FONDO PERMANENTE PARA LA FINANCIACION DE PROYECTOS Y PROGRAMAS DE LOS GOBIERNOS LOCALES DE LA PROVINCIA DE CORDOBA, </w:t>
      </w:r>
      <w:r>
        <w:rPr>
          <w:rFonts w:ascii="Times New Roman" w:eastAsia="Times New Roman" w:hAnsi="Times New Roman" w:cs="Times New Roman"/>
          <w:sz w:val="24"/>
          <w:szCs w:val="24"/>
          <w:lang w:val="es-ES"/>
        </w:rPr>
        <w:lastRenderedPageBreak/>
        <w:t xml:space="preserve">un préstamo de hasta pesos sesenta millones ($ 60.000.000) con destino a la ejecución que se aprueba por el artículo 1º. </w:t>
      </w:r>
    </w:p>
    <w:p w:rsidR="00513E83" w:rsidRDefault="00513E83" w:rsidP="00513E83">
      <w:pPr>
        <w:spacing w:before="240" w:after="240" w:line="360" w:lineRule="auto"/>
        <w:jc w:val="both"/>
        <w:rPr>
          <w:rFonts w:ascii="Times New Roman" w:eastAsia="Times New Roman" w:hAnsi="Times New Roman" w:cs="Times New Roman"/>
          <w:b/>
          <w:bCs/>
          <w:sz w:val="24"/>
          <w:szCs w:val="24"/>
          <w:lang w:val="es-ES"/>
        </w:rPr>
      </w:pPr>
      <w:r>
        <w:rPr>
          <w:rFonts w:ascii="Times New Roman" w:eastAsia="Times New Roman" w:hAnsi="Times New Roman" w:cs="Times New Roman"/>
          <w:b/>
          <w:bCs/>
          <w:sz w:val="24"/>
          <w:szCs w:val="24"/>
          <w:lang w:val="es-ES"/>
        </w:rPr>
        <w:t xml:space="preserve">ARTÍCULO 3°. - </w:t>
      </w:r>
      <w:r>
        <w:rPr>
          <w:rFonts w:ascii="Times New Roman" w:eastAsia="Times New Roman" w:hAnsi="Times New Roman" w:cs="Times New Roman"/>
          <w:sz w:val="24"/>
          <w:szCs w:val="24"/>
          <w:lang w:val="es-ES"/>
        </w:rPr>
        <w:t>FACÚLTASE al Departamento Ejecutivo para que, en pago del crédito, ceda al Fondo Permanente, de la coparticipación que mensualmente corresponda al Municipio en los impuestos provinciales, hasta la suma de Pesos un millón ($ 1.000.000) mensuales, durante el término máximo de sesenta (60) meses</w:t>
      </w:r>
      <w:r>
        <w:rPr>
          <w:rFonts w:ascii="Times New Roman" w:eastAsia="Times New Roman" w:hAnsi="Times New Roman" w:cs="Times New Roman"/>
          <w:b/>
          <w:bCs/>
          <w:sz w:val="24"/>
          <w:szCs w:val="24"/>
          <w:lang w:val="es-ES"/>
        </w:rPr>
        <w:t xml:space="preserve"> </w:t>
      </w:r>
    </w:p>
    <w:p w:rsidR="00513E83" w:rsidRDefault="00513E83" w:rsidP="00513E83">
      <w:pPr>
        <w:spacing w:before="240" w:after="240" w:line="360" w:lineRule="auto"/>
        <w:jc w:val="both"/>
        <w:rPr>
          <w:rFonts w:ascii="Times New Roman" w:eastAsia="Times New Roman" w:hAnsi="Times New Roman" w:cs="Times New Roman"/>
          <w:b/>
          <w:bCs/>
          <w:sz w:val="24"/>
          <w:szCs w:val="24"/>
          <w:lang w:val="es-ES"/>
        </w:rPr>
      </w:pPr>
      <w:r>
        <w:rPr>
          <w:rFonts w:ascii="Times New Roman" w:eastAsia="Times New Roman" w:hAnsi="Times New Roman" w:cs="Times New Roman"/>
          <w:b/>
          <w:bCs/>
          <w:sz w:val="24"/>
          <w:szCs w:val="24"/>
          <w:lang w:val="es-ES"/>
        </w:rPr>
        <w:t xml:space="preserve">ARTÍCULO 4°. - </w:t>
      </w:r>
      <w:r>
        <w:rPr>
          <w:rFonts w:ascii="Times New Roman" w:eastAsia="Times New Roman" w:hAnsi="Times New Roman" w:cs="Times New Roman"/>
          <w:sz w:val="24"/>
          <w:szCs w:val="24"/>
          <w:lang w:val="es-ES"/>
        </w:rPr>
        <w:t>El Departamento Ejecutivo deberá notificar formalmente a la Provincia de la cesión de la coparticipación, anoticiándola de que, en mérito a tal cesión, deberá mensualmente pagarse la suma cedida directamente al Fondo Permanente.</w:t>
      </w:r>
      <w:r>
        <w:rPr>
          <w:rFonts w:ascii="Times New Roman" w:eastAsia="Times New Roman" w:hAnsi="Times New Roman" w:cs="Times New Roman"/>
          <w:b/>
          <w:bCs/>
          <w:sz w:val="24"/>
          <w:szCs w:val="24"/>
          <w:lang w:val="es-ES"/>
        </w:rPr>
        <w:t xml:space="preserve"> </w:t>
      </w:r>
    </w:p>
    <w:p w:rsidR="00513E83" w:rsidRDefault="00513E83" w:rsidP="00513E83">
      <w:pPr>
        <w:spacing w:before="240" w:after="240" w:line="360" w:lineRule="auto"/>
        <w:jc w:val="both"/>
        <w:rPr>
          <w:rFonts w:ascii="Times New Roman" w:eastAsia="Times New Roman" w:hAnsi="Times New Roman" w:cs="Times New Roman"/>
          <w:b/>
          <w:bCs/>
          <w:sz w:val="24"/>
          <w:szCs w:val="24"/>
          <w:lang w:val="es-ES"/>
        </w:rPr>
      </w:pPr>
      <w:r>
        <w:rPr>
          <w:rFonts w:ascii="Times New Roman" w:eastAsia="Times New Roman" w:hAnsi="Times New Roman" w:cs="Times New Roman"/>
          <w:b/>
          <w:bCs/>
          <w:sz w:val="24"/>
          <w:szCs w:val="24"/>
          <w:lang w:val="es-ES"/>
        </w:rPr>
        <w:t xml:space="preserve">ARTÍCULO 5°. - </w:t>
      </w:r>
      <w:r>
        <w:rPr>
          <w:rFonts w:ascii="Times New Roman" w:eastAsia="Times New Roman" w:hAnsi="Times New Roman" w:cs="Times New Roman"/>
          <w:sz w:val="24"/>
          <w:szCs w:val="24"/>
          <w:lang w:val="es-ES"/>
        </w:rPr>
        <w:t>FACÚLTASE al Departamento Ejecutivo para que garantice la existencia y cobrabilidad del crédito tomado, con los recursos del Municipio provenientes de otras fuentes que no sean la coparticipación en los impuestos provinciales.</w:t>
      </w:r>
      <w:r>
        <w:rPr>
          <w:rFonts w:ascii="Times New Roman" w:eastAsia="Times New Roman" w:hAnsi="Times New Roman" w:cs="Times New Roman"/>
          <w:b/>
          <w:bCs/>
          <w:sz w:val="24"/>
          <w:szCs w:val="24"/>
          <w:lang w:val="es-ES"/>
        </w:rPr>
        <w:t xml:space="preserve"> </w:t>
      </w:r>
    </w:p>
    <w:p w:rsidR="00513E83" w:rsidRDefault="00513E83" w:rsidP="00513E83">
      <w:pPr>
        <w:spacing w:before="240" w:after="240" w:line="360" w:lineRule="auto"/>
        <w:jc w:val="both"/>
        <w:rPr>
          <w:rFonts w:ascii="Times New Roman" w:eastAsia="Times New Roman" w:hAnsi="Times New Roman" w:cs="Times New Roman"/>
          <w:sz w:val="24"/>
          <w:szCs w:val="24"/>
          <w:lang w:val="es-ES"/>
        </w:rPr>
      </w:pPr>
      <w:r>
        <w:rPr>
          <w:rFonts w:ascii="Times New Roman" w:eastAsia="Times New Roman" w:hAnsi="Times New Roman" w:cs="Times New Roman"/>
          <w:b/>
          <w:bCs/>
          <w:sz w:val="24"/>
          <w:szCs w:val="24"/>
          <w:lang w:val="es-ES"/>
        </w:rPr>
        <w:t xml:space="preserve">ARTÍCULO 6°. - </w:t>
      </w:r>
      <w:r>
        <w:rPr>
          <w:rFonts w:ascii="Times New Roman" w:eastAsia="Times New Roman" w:hAnsi="Times New Roman" w:cs="Times New Roman"/>
          <w:sz w:val="24"/>
          <w:szCs w:val="24"/>
          <w:lang w:val="es-ES"/>
        </w:rPr>
        <w:t>El Departamento Ejecutivo informará al Concejo Deliberante, antes del día diez de cada mes, el estado de ejecución del proyecto aprobado en el artículo 1º y al mismo tiempo rendirá cuenta documentada de la utilización de los fondos tomados.</w:t>
      </w:r>
    </w:p>
    <w:p w:rsidR="00513E83" w:rsidRDefault="00513E83" w:rsidP="00513E83">
      <w:pPr>
        <w:spacing w:before="240" w:after="240" w:line="360" w:lineRule="auto"/>
        <w:jc w:val="both"/>
        <w:rPr>
          <w:rFonts w:ascii="Times New Roman" w:eastAsia="Times New Roman" w:hAnsi="Times New Roman" w:cs="Times New Roman"/>
          <w:sz w:val="24"/>
          <w:szCs w:val="24"/>
          <w:lang w:val="es-ES"/>
        </w:rPr>
      </w:pPr>
      <w:r>
        <w:rPr>
          <w:rFonts w:ascii="Times New Roman" w:eastAsia="Times New Roman" w:hAnsi="Times New Roman" w:cs="Times New Roman"/>
          <w:b/>
          <w:bCs/>
          <w:sz w:val="24"/>
          <w:szCs w:val="24"/>
          <w:lang w:val="es-ES"/>
        </w:rPr>
        <w:t>ARTÍCULO 7°. -</w:t>
      </w:r>
      <w:r>
        <w:rPr>
          <w:rFonts w:ascii="Times New Roman" w:eastAsia="Times New Roman" w:hAnsi="Times New Roman" w:cs="Times New Roman"/>
          <w:sz w:val="24"/>
          <w:szCs w:val="24"/>
          <w:lang w:val="es-ES"/>
        </w:rPr>
        <w:t>COMUNÍQUESE, PUBLÍQUESE, DÉSE AL REGISTRO MUNICIPAL Y ARCHÍVESE.</w:t>
      </w:r>
    </w:p>
    <w:p w:rsidR="00513E83" w:rsidRDefault="00513E83" w:rsidP="00513E83">
      <w:pPr>
        <w:rPr>
          <w:rFonts w:ascii="Times New Roman" w:hAnsi="Times New Roman" w:cs="Times New Roman"/>
          <w:lang w:val="es-ES"/>
        </w:rPr>
      </w:pPr>
    </w:p>
    <w:p w:rsidR="00513E83" w:rsidRDefault="00513E83" w:rsidP="00513E83">
      <w:pPr>
        <w:rPr>
          <w:rFonts w:ascii="Times New Roman" w:hAnsi="Times New Roman" w:cs="Times New Roman"/>
          <w:lang w:val="es-ES"/>
        </w:rPr>
      </w:pPr>
      <w:r>
        <w:rPr>
          <w:rFonts w:ascii="Times New Roman" w:hAnsi="Times New Roman" w:cs="Times New Roman"/>
          <w:lang w:val="es-ES"/>
        </w:rPr>
        <w:t xml:space="preserve">Dada en Sala de </w:t>
      </w:r>
    </w:p>
    <w:p w:rsidR="00513E83" w:rsidRDefault="00513E83" w:rsidP="00513E83">
      <w:pPr>
        <w:rPr>
          <w:rFonts w:ascii="Times New Roman" w:hAnsi="Times New Roman" w:cs="Times New Roman"/>
          <w:lang w:val="es-ES"/>
        </w:rPr>
      </w:pPr>
      <w:r>
        <w:rPr>
          <w:rFonts w:ascii="Times New Roman" w:hAnsi="Times New Roman" w:cs="Times New Roman"/>
          <w:lang w:val="es-ES"/>
        </w:rPr>
        <w:t>Sesiones el 18/03</w:t>
      </w:r>
    </w:p>
    <w:p w:rsidR="00513E83" w:rsidRDefault="00513E83" w:rsidP="00513E83">
      <w:pPr>
        <w:rPr>
          <w:rFonts w:ascii="Times New Roman" w:hAnsi="Times New Roman" w:cs="Times New Roman"/>
          <w:lang w:val="es-ES"/>
        </w:rPr>
      </w:pPr>
      <w:r>
        <w:rPr>
          <w:rFonts w:ascii="Times New Roman" w:hAnsi="Times New Roman" w:cs="Times New Roman"/>
          <w:lang w:val="es-ES"/>
        </w:rPr>
        <w:t>S/ acta Nº 5</w:t>
      </w:r>
    </w:p>
    <w:p w:rsidR="00C90A8C" w:rsidRDefault="00C90A8C" w:rsidP="00513E83">
      <w:pPr>
        <w:rPr>
          <w:rFonts w:ascii="Times New Roman" w:hAnsi="Times New Roman" w:cs="Times New Roman"/>
          <w:lang w:val="es-ES"/>
        </w:rPr>
      </w:pPr>
    </w:p>
    <w:p w:rsidR="00C90A8C" w:rsidRDefault="00C90A8C" w:rsidP="00513E83">
      <w:pPr>
        <w:rPr>
          <w:rFonts w:ascii="Times New Roman" w:hAnsi="Times New Roman" w:cs="Times New Roman"/>
          <w:lang w:val="es-ES"/>
        </w:rPr>
      </w:pPr>
    </w:p>
    <w:p w:rsidR="00C90A8C" w:rsidRDefault="00C90A8C" w:rsidP="00513E83">
      <w:pPr>
        <w:rPr>
          <w:rFonts w:ascii="Times New Roman" w:hAnsi="Times New Roman" w:cs="Times New Roman"/>
          <w:lang w:val="es-ES"/>
        </w:rPr>
      </w:pPr>
    </w:p>
    <w:p w:rsidR="00C90A8C" w:rsidRDefault="00C90A8C" w:rsidP="00513E83">
      <w:pPr>
        <w:rPr>
          <w:rFonts w:ascii="Times New Roman" w:hAnsi="Times New Roman" w:cs="Times New Roman"/>
          <w:lang w:val="es-ES"/>
        </w:rPr>
      </w:pPr>
    </w:p>
    <w:tbl>
      <w:tblPr>
        <w:tblW w:w="6340" w:type="dxa"/>
        <w:tblCellMar>
          <w:left w:w="70" w:type="dxa"/>
          <w:right w:w="70" w:type="dxa"/>
        </w:tblCellMar>
        <w:tblLook w:val="04A0" w:firstRow="1" w:lastRow="0" w:firstColumn="1" w:lastColumn="0" w:noHBand="0" w:noVBand="1"/>
      </w:tblPr>
      <w:tblGrid>
        <w:gridCol w:w="3967"/>
        <w:gridCol w:w="2373"/>
      </w:tblGrid>
      <w:tr w:rsidR="007B6EFB" w:rsidRPr="007B6EFB" w:rsidTr="007B6EFB">
        <w:trPr>
          <w:trHeight w:val="516"/>
        </w:trPr>
        <w:tc>
          <w:tcPr>
            <w:tcW w:w="6340" w:type="dxa"/>
            <w:gridSpan w:val="2"/>
            <w:tcBorders>
              <w:top w:val="nil"/>
              <w:left w:val="nil"/>
              <w:bottom w:val="nil"/>
              <w:right w:val="nil"/>
            </w:tcBorders>
            <w:shd w:val="clear" w:color="auto" w:fill="auto"/>
            <w:noWrap/>
            <w:vAlign w:val="bottom"/>
            <w:hideMark/>
          </w:tcPr>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Default="007B6EFB" w:rsidP="007B6EFB">
            <w:pPr>
              <w:spacing w:line="240" w:lineRule="auto"/>
              <w:jc w:val="center"/>
              <w:rPr>
                <w:rFonts w:ascii="Calibri" w:eastAsia="Times New Roman" w:hAnsi="Calibri" w:cs="Calibri"/>
                <w:b/>
                <w:bCs/>
                <w:color w:val="000000"/>
                <w:sz w:val="40"/>
                <w:szCs w:val="40"/>
              </w:rPr>
            </w:pPr>
          </w:p>
          <w:p w:rsidR="007B6EFB" w:rsidRPr="007B6EFB" w:rsidRDefault="007B6EFB" w:rsidP="007B6EFB">
            <w:pPr>
              <w:spacing w:line="240" w:lineRule="auto"/>
              <w:jc w:val="center"/>
              <w:rPr>
                <w:rFonts w:ascii="Calibri" w:eastAsia="Times New Roman" w:hAnsi="Calibri" w:cs="Calibri"/>
                <w:b/>
                <w:bCs/>
                <w:color w:val="000000"/>
                <w:sz w:val="40"/>
                <w:szCs w:val="40"/>
              </w:rPr>
            </w:pPr>
            <w:r>
              <w:rPr>
                <w:rFonts w:ascii="Calibri" w:eastAsia="Times New Roman" w:hAnsi="Calibri" w:cs="Calibri"/>
                <w:b/>
                <w:bCs/>
                <w:color w:val="000000"/>
                <w:sz w:val="40"/>
                <w:szCs w:val="40"/>
              </w:rPr>
              <w:t xml:space="preserve">                   </w:t>
            </w:r>
            <w:r w:rsidRPr="007B6EFB">
              <w:rPr>
                <w:rFonts w:ascii="Calibri" w:eastAsia="Times New Roman" w:hAnsi="Calibri" w:cs="Calibri"/>
                <w:b/>
                <w:bCs/>
                <w:color w:val="000000"/>
                <w:sz w:val="40"/>
                <w:szCs w:val="40"/>
              </w:rPr>
              <w:t>ANEXO I</w:t>
            </w:r>
          </w:p>
        </w:tc>
      </w:tr>
      <w:tr w:rsidR="007B6EFB" w:rsidRPr="007B6EFB" w:rsidTr="007B6EFB">
        <w:trPr>
          <w:trHeight w:val="360"/>
        </w:trPr>
        <w:tc>
          <w:tcPr>
            <w:tcW w:w="6340" w:type="dxa"/>
            <w:gridSpan w:val="2"/>
            <w:tcBorders>
              <w:top w:val="nil"/>
              <w:left w:val="nil"/>
              <w:bottom w:val="nil"/>
              <w:right w:val="nil"/>
            </w:tcBorders>
            <w:shd w:val="clear" w:color="auto" w:fill="auto"/>
            <w:noWrap/>
            <w:vAlign w:val="bottom"/>
            <w:hideMark/>
          </w:tcPr>
          <w:p w:rsidR="007B6EFB" w:rsidRPr="007B6EFB" w:rsidRDefault="007B6EFB" w:rsidP="007B6EFB">
            <w:pPr>
              <w:spacing w:line="240" w:lineRule="auto"/>
              <w:jc w:val="center"/>
              <w:rPr>
                <w:rFonts w:ascii="Calibri" w:eastAsia="Times New Roman" w:hAnsi="Calibri" w:cs="Calibri"/>
                <w:b/>
                <w:bCs/>
                <w:color w:val="000000"/>
                <w:sz w:val="28"/>
                <w:szCs w:val="28"/>
              </w:rPr>
            </w:pPr>
            <w:r>
              <w:rPr>
                <w:rFonts w:ascii="Calibri" w:eastAsia="Times New Roman" w:hAnsi="Calibri" w:cs="Calibri"/>
                <w:b/>
                <w:bCs/>
                <w:color w:val="000000"/>
                <w:sz w:val="28"/>
                <w:szCs w:val="28"/>
              </w:rPr>
              <w:lastRenderedPageBreak/>
              <w:t xml:space="preserve">                           </w:t>
            </w:r>
            <w:r w:rsidRPr="007B6EFB">
              <w:rPr>
                <w:rFonts w:ascii="Calibri" w:eastAsia="Times New Roman" w:hAnsi="Calibri" w:cs="Calibri"/>
                <w:b/>
                <w:bCs/>
                <w:color w:val="000000"/>
                <w:sz w:val="28"/>
                <w:szCs w:val="28"/>
              </w:rPr>
              <w:t>Ord. 1557/26</w:t>
            </w:r>
          </w:p>
        </w:tc>
      </w:tr>
      <w:tr w:rsidR="007B6EFB" w:rsidRPr="007B6EFB" w:rsidTr="007B6EFB">
        <w:trPr>
          <w:trHeight w:val="288"/>
        </w:trPr>
        <w:tc>
          <w:tcPr>
            <w:tcW w:w="3967" w:type="dxa"/>
            <w:tcBorders>
              <w:top w:val="nil"/>
              <w:left w:val="nil"/>
              <w:bottom w:val="nil"/>
              <w:right w:val="nil"/>
            </w:tcBorders>
            <w:shd w:val="clear" w:color="auto" w:fill="auto"/>
            <w:noWrap/>
            <w:vAlign w:val="bottom"/>
            <w:hideMark/>
          </w:tcPr>
          <w:p w:rsidR="007B6EFB" w:rsidRPr="007B6EFB" w:rsidRDefault="007B6EFB" w:rsidP="007B6EFB">
            <w:pPr>
              <w:spacing w:line="240" w:lineRule="auto"/>
              <w:jc w:val="center"/>
              <w:rPr>
                <w:rFonts w:ascii="Calibri" w:eastAsia="Times New Roman" w:hAnsi="Calibri" w:cs="Calibri"/>
                <w:b/>
                <w:bCs/>
                <w:color w:val="000000"/>
                <w:sz w:val="28"/>
                <w:szCs w:val="28"/>
              </w:rPr>
            </w:pPr>
            <w:r>
              <w:rPr>
                <w:rFonts w:ascii="Calibri" w:eastAsia="Times New Roman" w:hAnsi="Calibri" w:cs="Calibri"/>
                <w:b/>
                <w:bCs/>
                <w:color w:val="000000"/>
                <w:sz w:val="28"/>
                <w:szCs w:val="28"/>
              </w:rPr>
              <w:t xml:space="preserve"> </w:t>
            </w:r>
          </w:p>
        </w:tc>
        <w:tc>
          <w:tcPr>
            <w:tcW w:w="2373" w:type="dxa"/>
            <w:tcBorders>
              <w:top w:val="nil"/>
              <w:left w:val="nil"/>
              <w:bottom w:val="nil"/>
              <w:right w:val="nil"/>
            </w:tcBorders>
            <w:shd w:val="clear" w:color="auto" w:fill="auto"/>
            <w:noWrap/>
            <w:vAlign w:val="bottom"/>
            <w:hideMark/>
          </w:tcPr>
          <w:p w:rsidR="007B6EFB" w:rsidRPr="007B6EFB" w:rsidRDefault="007B6EFB" w:rsidP="007B6EFB">
            <w:pPr>
              <w:spacing w:line="240" w:lineRule="auto"/>
              <w:rPr>
                <w:rFonts w:ascii="Times New Roman" w:eastAsia="Times New Roman" w:hAnsi="Times New Roman" w:cs="Times New Roman"/>
                <w:sz w:val="20"/>
                <w:szCs w:val="20"/>
              </w:rPr>
            </w:pPr>
          </w:p>
        </w:tc>
      </w:tr>
      <w:tr w:rsidR="007B6EFB" w:rsidRPr="007B6EFB" w:rsidTr="007B6EFB">
        <w:trPr>
          <w:trHeight w:val="288"/>
        </w:trPr>
        <w:tc>
          <w:tcPr>
            <w:tcW w:w="3967" w:type="dxa"/>
            <w:tcBorders>
              <w:top w:val="nil"/>
              <w:left w:val="nil"/>
              <w:bottom w:val="nil"/>
              <w:right w:val="nil"/>
            </w:tcBorders>
            <w:shd w:val="clear" w:color="auto" w:fill="auto"/>
            <w:noWrap/>
            <w:vAlign w:val="bottom"/>
          </w:tcPr>
          <w:p w:rsidR="007B6EFB" w:rsidRDefault="007B6EFB" w:rsidP="007B6EFB">
            <w:pPr>
              <w:spacing w:line="240" w:lineRule="auto"/>
              <w:jc w:val="center"/>
              <w:rPr>
                <w:rFonts w:ascii="Calibri" w:eastAsia="Times New Roman" w:hAnsi="Calibri" w:cs="Calibri"/>
                <w:b/>
                <w:bCs/>
                <w:color w:val="000000"/>
                <w:sz w:val="28"/>
                <w:szCs w:val="28"/>
              </w:rPr>
            </w:pPr>
          </w:p>
        </w:tc>
        <w:tc>
          <w:tcPr>
            <w:tcW w:w="2373" w:type="dxa"/>
            <w:tcBorders>
              <w:top w:val="nil"/>
              <w:left w:val="nil"/>
              <w:bottom w:val="nil"/>
              <w:right w:val="nil"/>
            </w:tcBorders>
            <w:shd w:val="clear" w:color="auto" w:fill="auto"/>
            <w:noWrap/>
            <w:vAlign w:val="bottom"/>
          </w:tcPr>
          <w:p w:rsidR="007B6EFB" w:rsidRPr="007B6EFB" w:rsidRDefault="007B6EFB" w:rsidP="007B6EFB">
            <w:pPr>
              <w:spacing w:line="240" w:lineRule="auto"/>
              <w:rPr>
                <w:rFonts w:ascii="Times New Roman" w:eastAsia="Times New Roman" w:hAnsi="Times New Roman" w:cs="Times New Roman"/>
                <w:sz w:val="20"/>
                <w:szCs w:val="20"/>
              </w:rPr>
            </w:pPr>
          </w:p>
        </w:tc>
      </w:tr>
      <w:tr w:rsidR="007B6EFB" w:rsidRPr="007B6EFB" w:rsidTr="007B6EFB">
        <w:trPr>
          <w:trHeight w:val="420"/>
        </w:trPr>
        <w:tc>
          <w:tcPr>
            <w:tcW w:w="3967"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7B6EFB" w:rsidRPr="007B6EFB" w:rsidRDefault="007B6EFB" w:rsidP="007B6EFB">
            <w:pPr>
              <w:spacing w:line="240" w:lineRule="auto"/>
              <w:jc w:val="center"/>
              <w:rPr>
                <w:rFonts w:ascii="Calibri" w:eastAsia="Times New Roman" w:hAnsi="Calibri" w:cs="Calibri"/>
                <w:b/>
                <w:bCs/>
                <w:color w:val="000000"/>
                <w:sz w:val="32"/>
                <w:szCs w:val="32"/>
              </w:rPr>
            </w:pPr>
            <w:r w:rsidRPr="007B6EFB">
              <w:rPr>
                <w:rFonts w:ascii="Calibri" w:eastAsia="Times New Roman" w:hAnsi="Calibri" w:cs="Calibri"/>
                <w:b/>
                <w:bCs/>
                <w:color w:val="000000"/>
                <w:sz w:val="32"/>
                <w:szCs w:val="32"/>
              </w:rPr>
              <w:t>PROVEEDOR</w:t>
            </w:r>
          </w:p>
        </w:tc>
        <w:tc>
          <w:tcPr>
            <w:tcW w:w="2373" w:type="dxa"/>
            <w:tcBorders>
              <w:top w:val="single" w:sz="4" w:space="0" w:color="auto"/>
              <w:left w:val="nil"/>
              <w:bottom w:val="single" w:sz="4" w:space="0" w:color="auto"/>
              <w:right w:val="single" w:sz="4" w:space="0" w:color="auto"/>
            </w:tcBorders>
            <w:shd w:val="clear" w:color="auto" w:fill="auto"/>
            <w:noWrap/>
            <w:vAlign w:val="bottom"/>
            <w:hideMark/>
          </w:tcPr>
          <w:p w:rsidR="007B6EFB" w:rsidRPr="007B6EFB" w:rsidRDefault="007B6EFB" w:rsidP="007B6EFB">
            <w:pPr>
              <w:spacing w:line="240" w:lineRule="auto"/>
              <w:jc w:val="center"/>
              <w:rPr>
                <w:rFonts w:ascii="Calibri" w:eastAsia="Times New Roman" w:hAnsi="Calibri" w:cs="Calibri"/>
                <w:b/>
                <w:bCs/>
                <w:color w:val="000000"/>
                <w:sz w:val="32"/>
                <w:szCs w:val="32"/>
              </w:rPr>
            </w:pPr>
            <w:r w:rsidRPr="007B6EFB">
              <w:rPr>
                <w:rFonts w:ascii="Calibri" w:eastAsia="Times New Roman" w:hAnsi="Calibri" w:cs="Calibri"/>
                <w:b/>
                <w:bCs/>
                <w:color w:val="000000"/>
                <w:sz w:val="32"/>
                <w:szCs w:val="32"/>
              </w:rPr>
              <w:t>CUIT</w:t>
            </w:r>
          </w:p>
        </w:tc>
      </w:tr>
      <w:tr w:rsidR="007B6EFB" w:rsidRPr="007B6EFB" w:rsidTr="007B6EFB">
        <w:trPr>
          <w:trHeight w:val="420"/>
        </w:trPr>
        <w:tc>
          <w:tcPr>
            <w:tcW w:w="3967" w:type="dxa"/>
            <w:tcBorders>
              <w:top w:val="nil"/>
              <w:left w:val="single" w:sz="4" w:space="0" w:color="auto"/>
              <w:bottom w:val="single" w:sz="4" w:space="0" w:color="auto"/>
              <w:right w:val="single" w:sz="4" w:space="0" w:color="auto"/>
            </w:tcBorders>
            <w:shd w:val="clear" w:color="auto" w:fill="auto"/>
            <w:noWrap/>
            <w:vAlign w:val="bottom"/>
            <w:hideMark/>
          </w:tcPr>
          <w:p w:rsidR="007B6EFB" w:rsidRPr="007B6EFB" w:rsidRDefault="007B6EFB" w:rsidP="007B6EFB">
            <w:pPr>
              <w:spacing w:line="240" w:lineRule="auto"/>
              <w:rPr>
                <w:rFonts w:ascii="Calibri" w:eastAsia="Times New Roman" w:hAnsi="Calibri" w:cs="Calibri"/>
                <w:color w:val="000000"/>
                <w:sz w:val="32"/>
                <w:szCs w:val="32"/>
              </w:rPr>
            </w:pPr>
            <w:r w:rsidRPr="007B6EFB">
              <w:rPr>
                <w:rFonts w:ascii="Calibri" w:eastAsia="Times New Roman" w:hAnsi="Calibri" w:cs="Calibri"/>
                <w:color w:val="000000"/>
                <w:sz w:val="32"/>
                <w:szCs w:val="32"/>
              </w:rPr>
              <w:t>EMPRENDIMIENTOS S.R.L</w:t>
            </w:r>
          </w:p>
        </w:tc>
        <w:tc>
          <w:tcPr>
            <w:tcW w:w="2373" w:type="dxa"/>
            <w:tcBorders>
              <w:top w:val="nil"/>
              <w:left w:val="nil"/>
              <w:bottom w:val="single" w:sz="4" w:space="0" w:color="auto"/>
              <w:right w:val="single" w:sz="4" w:space="0" w:color="auto"/>
            </w:tcBorders>
            <w:shd w:val="clear" w:color="auto" w:fill="auto"/>
            <w:noWrap/>
            <w:vAlign w:val="bottom"/>
            <w:hideMark/>
          </w:tcPr>
          <w:p w:rsidR="007B6EFB" w:rsidRPr="007B6EFB" w:rsidRDefault="007B6EFB" w:rsidP="007B6EFB">
            <w:pPr>
              <w:spacing w:line="240" w:lineRule="auto"/>
              <w:rPr>
                <w:rFonts w:ascii="Calibri" w:eastAsia="Times New Roman" w:hAnsi="Calibri" w:cs="Calibri"/>
                <w:color w:val="000000"/>
                <w:sz w:val="32"/>
                <w:szCs w:val="32"/>
              </w:rPr>
            </w:pPr>
            <w:r w:rsidRPr="007B6EFB">
              <w:rPr>
                <w:rFonts w:ascii="Calibri" w:eastAsia="Times New Roman" w:hAnsi="Calibri" w:cs="Calibri"/>
                <w:color w:val="000000"/>
                <w:sz w:val="32"/>
                <w:szCs w:val="32"/>
              </w:rPr>
              <w:t>30-67871436-4</w:t>
            </w:r>
          </w:p>
        </w:tc>
      </w:tr>
      <w:tr w:rsidR="007B6EFB" w:rsidRPr="007B6EFB" w:rsidTr="007B6EFB">
        <w:trPr>
          <w:trHeight w:val="420"/>
        </w:trPr>
        <w:tc>
          <w:tcPr>
            <w:tcW w:w="3967" w:type="dxa"/>
            <w:tcBorders>
              <w:top w:val="nil"/>
              <w:left w:val="single" w:sz="4" w:space="0" w:color="auto"/>
              <w:bottom w:val="single" w:sz="4" w:space="0" w:color="auto"/>
              <w:right w:val="single" w:sz="4" w:space="0" w:color="auto"/>
            </w:tcBorders>
            <w:shd w:val="clear" w:color="auto" w:fill="auto"/>
            <w:noWrap/>
            <w:vAlign w:val="bottom"/>
            <w:hideMark/>
          </w:tcPr>
          <w:p w:rsidR="007B6EFB" w:rsidRPr="007B6EFB" w:rsidRDefault="007B6EFB" w:rsidP="007B6EFB">
            <w:pPr>
              <w:spacing w:line="240" w:lineRule="auto"/>
              <w:rPr>
                <w:rFonts w:ascii="Calibri" w:eastAsia="Times New Roman" w:hAnsi="Calibri" w:cs="Calibri"/>
                <w:color w:val="000000"/>
                <w:sz w:val="32"/>
                <w:szCs w:val="32"/>
              </w:rPr>
            </w:pPr>
            <w:r w:rsidRPr="007B6EFB">
              <w:rPr>
                <w:rFonts w:ascii="Calibri" w:eastAsia="Times New Roman" w:hAnsi="Calibri" w:cs="Calibri"/>
                <w:color w:val="000000"/>
                <w:sz w:val="32"/>
                <w:szCs w:val="32"/>
              </w:rPr>
              <w:t>ESER S.A</w:t>
            </w:r>
          </w:p>
        </w:tc>
        <w:tc>
          <w:tcPr>
            <w:tcW w:w="2373" w:type="dxa"/>
            <w:tcBorders>
              <w:top w:val="nil"/>
              <w:left w:val="nil"/>
              <w:bottom w:val="single" w:sz="4" w:space="0" w:color="auto"/>
              <w:right w:val="single" w:sz="4" w:space="0" w:color="auto"/>
            </w:tcBorders>
            <w:shd w:val="clear" w:color="auto" w:fill="auto"/>
            <w:noWrap/>
            <w:vAlign w:val="bottom"/>
            <w:hideMark/>
          </w:tcPr>
          <w:p w:rsidR="007B6EFB" w:rsidRPr="007B6EFB" w:rsidRDefault="007B6EFB" w:rsidP="007B6EFB">
            <w:pPr>
              <w:spacing w:line="240" w:lineRule="auto"/>
              <w:rPr>
                <w:rFonts w:ascii="Calibri" w:eastAsia="Times New Roman" w:hAnsi="Calibri" w:cs="Calibri"/>
                <w:color w:val="000000"/>
                <w:sz w:val="32"/>
                <w:szCs w:val="32"/>
              </w:rPr>
            </w:pPr>
            <w:r w:rsidRPr="007B6EFB">
              <w:rPr>
                <w:rFonts w:ascii="Calibri" w:eastAsia="Times New Roman" w:hAnsi="Calibri" w:cs="Calibri"/>
                <w:color w:val="000000"/>
                <w:sz w:val="32"/>
                <w:szCs w:val="32"/>
              </w:rPr>
              <w:t>33-68762353-9</w:t>
            </w:r>
          </w:p>
        </w:tc>
      </w:tr>
      <w:tr w:rsidR="007B6EFB" w:rsidRPr="007B6EFB" w:rsidTr="007B6EFB">
        <w:trPr>
          <w:trHeight w:val="420"/>
        </w:trPr>
        <w:tc>
          <w:tcPr>
            <w:tcW w:w="3967" w:type="dxa"/>
            <w:tcBorders>
              <w:top w:val="nil"/>
              <w:left w:val="single" w:sz="4" w:space="0" w:color="auto"/>
              <w:bottom w:val="single" w:sz="4" w:space="0" w:color="auto"/>
              <w:right w:val="single" w:sz="4" w:space="0" w:color="auto"/>
            </w:tcBorders>
            <w:shd w:val="clear" w:color="auto" w:fill="auto"/>
            <w:noWrap/>
            <w:vAlign w:val="bottom"/>
            <w:hideMark/>
          </w:tcPr>
          <w:p w:rsidR="007B6EFB" w:rsidRPr="007B6EFB" w:rsidRDefault="007B6EFB" w:rsidP="007B6EFB">
            <w:pPr>
              <w:spacing w:line="240" w:lineRule="auto"/>
              <w:rPr>
                <w:rFonts w:ascii="Calibri" w:eastAsia="Times New Roman" w:hAnsi="Calibri" w:cs="Calibri"/>
                <w:color w:val="000000"/>
                <w:sz w:val="32"/>
                <w:szCs w:val="32"/>
              </w:rPr>
            </w:pPr>
            <w:r w:rsidRPr="007B6EFB">
              <w:rPr>
                <w:rFonts w:ascii="Calibri" w:eastAsia="Times New Roman" w:hAnsi="Calibri" w:cs="Calibri"/>
                <w:color w:val="000000"/>
                <w:sz w:val="32"/>
                <w:szCs w:val="32"/>
              </w:rPr>
              <w:t>CENTRO DE BEBIDAS</w:t>
            </w:r>
          </w:p>
        </w:tc>
        <w:tc>
          <w:tcPr>
            <w:tcW w:w="2373" w:type="dxa"/>
            <w:tcBorders>
              <w:top w:val="nil"/>
              <w:left w:val="nil"/>
              <w:bottom w:val="single" w:sz="4" w:space="0" w:color="auto"/>
              <w:right w:val="single" w:sz="4" w:space="0" w:color="auto"/>
            </w:tcBorders>
            <w:shd w:val="clear" w:color="auto" w:fill="auto"/>
            <w:noWrap/>
            <w:vAlign w:val="bottom"/>
            <w:hideMark/>
          </w:tcPr>
          <w:p w:rsidR="007B6EFB" w:rsidRPr="007B6EFB" w:rsidRDefault="007B6EFB" w:rsidP="007B6EFB">
            <w:pPr>
              <w:spacing w:line="240" w:lineRule="auto"/>
              <w:rPr>
                <w:rFonts w:ascii="Calibri" w:eastAsia="Times New Roman" w:hAnsi="Calibri" w:cs="Calibri"/>
                <w:color w:val="000000"/>
                <w:sz w:val="32"/>
                <w:szCs w:val="32"/>
              </w:rPr>
            </w:pPr>
            <w:r w:rsidRPr="007B6EFB">
              <w:rPr>
                <w:rFonts w:ascii="Calibri" w:eastAsia="Times New Roman" w:hAnsi="Calibri" w:cs="Calibri"/>
                <w:color w:val="000000"/>
                <w:sz w:val="32"/>
                <w:szCs w:val="32"/>
              </w:rPr>
              <w:t>30-69887189-6</w:t>
            </w:r>
          </w:p>
        </w:tc>
      </w:tr>
      <w:tr w:rsidR="007B6EFB" w:rsidRPr="007B6EFB" w:rsidTr="007B6EFB">
        <w:trPr>
          <w:trHeight w:val="288"/>
        </w:trPr>
        <w:tc>
          <w:tcPr>
            <w:tcW w:w="3967" w:type="dxa"/>
            <w:tcBorders>
              <w:top w:val="nil"/>
              <w:left w:val="nil"/>
              <w:bottom w:val="nil"/>
              <w:right w:val="nil"/>
            </w:tcBorders>
            <w:shd w:val="clear" w:color="auto" w:fill="auto"/>
            <w:noWrap/>
            <w:vAlign w:val="bottom"/>
            <w:hideMark/>
          </w:tcPr>
          <w:p w:rsidR="007B6EFB" w:rsidRPr="007B6EFB" w:rsidRDefault="007B6EFB" w:rsidP="007B6EFB">
            <w:pPr>
              <w:spacing w:line="240" w:lineRule="auto"/>
              <w:rPr>
                <w:rFonts w:ascii="Calibri" w:eastAsia="Times New Roman" w:hAnsi="Calibri" w:cs="Calibri"/>
                <w:color w:val="000000"/>
                <w:sz w:val="32"/>
                <w:szCs w:val="32"/>
              </w:rPr>
            </w:pPr>
          </w:p>
        </w:tc>
        <w:tc>
          <w:tcPr>
            <w:tcW w:w="2373" w:type="dxa"/>
            <w:tcBorders>
              <w:top w:val="nil"/>
              <w:left w:val="nil"/>
              <w:bottom w:val="nil"/>
              <w:right w:val="nil"/>
            </w:tcBorders>
            <w:shd w:val="clear" w:color="auto" w:fill="auto"/>
            <w:noWrap/>
            <w:vAlign w:val="bottom"/>
            <w:hideMark/>
          </w:tcPr>
          <w:p w:rsidR="007B6EFB" w:rsidRPr="007B6EFB" w:rsidRDefault="007B6EFB" w:rsidP="007B6EFB">
            <w:pPr>
              <w:spacing w:line="240" w:lineRule="auto"/>
              <w:rPr>
                <w:rFonts w:ascii="Times New Roman" w:eastAsia="Times New Roman" w:hAnsi="Times New Roman" w:cs="Times New Roman"/>
                <w:sz w:val="20"/>
                <w:szCs w:val="20"/>
              </w:rPr>
            </w:pPr>
          </w:p>
        </w:tc>
      </w:tr>
      <w:tr w:rsidR="007B6EFB" w:rsidRPr="007B6EFB" w:rsidTr="007B6EFB">
        <w:trPr>
          <w:trHeight w:val="288"/>
        </w:trPr>
        <w:tc>
          <w:tcPr>
            <w:tcW w:w="3967" w:type="dxa"/>
            <w:tcBorders>
              <w:top w:val="nil"/>
              <w:left w:val="nil"/>
              <w:bottom w:val="nil"/>
              <w:right w:val="nil"/>
            </w:tcBorders>
            <w:shd w:val="clear" w:color="auto" w:fill="auto"/>
            <w:noWrap/>
            <w:vAlign w:val="bottom"/>
            <w:hideMark/>
          </w:tcPr>
          <w:p w:rsidR="007B6EFB" w:rsidRPr="007B6EFB" w:rsidRDefault="007B6EFB" w:rsidP="007B6EFB">
            <w:pPr>
              <w:spacing w:line="240" w:lineRule="auto"/>
              <w:rPr>
                <w:rFonts w:ascii="Times New Roman" w:eastAsia="Times New Roman" w:hAnsi="Times New Roman" w:cs="Times New Roman"/>
                <w:sz w:val="20"/>
                <w:szCs w:val="20"/>
              </w:rPr>
            </w:pPr>
          </w:p>
        </w:tc>
        <w:tc>
          <w:tcPr>
            <w:tcW w:w="2373" w:type="dxa"/>
            <w:tcBorders>
              <w:top w:val="nil"/>
              <w:left w:val="nil"/>
              <w:bottom w:val="nil"/>
              <w:right w:val="nil"/>
            </w:tcBorders>
            <w:shd w:val="clear" w:color="auto" w:fill="auto"/>
            <w:noWrap/>
            <w:vAlign w:val="bottom"/>
            <w:hideMark/>
          </w:tcPr>
          <w:p w:rsidR="007B6EFB" w:rsidRPr="007B6EFB" w:rsidRDefault="007B6EFB" w:rsidP="007B6EFB">
            <w:pPr>
              <w:spacing w:line="240" w:lineRule="auto"/>
              <w:rPr>
                <w:rFonts w:ascii="Times New Roman" w:eastAsia="Times New Roman" w:hAnsi="Times New Roman" w:cs="Times New Roman"/>
                <w:sz w:val="20"/>
                <w:szCs w:val="20"/>
              </w:rPr>
            </w:pPr>
          </w:p>
        </w:tc>
      </w:tr>
    </w:tbl>
    <w:p w:rsidR="007B6EFB" w:rsidRDefault="007B6EFB" w:rsidP="00513E83">
      <w:pPr>
        <w:rPr>
          <w:rFonts w:ascii="Times New Roman" w:hAnsi="Times New Roman" w:cs="Times New Roman"/>
          <w:lang w:val="es-ES"/>
        </w:rPr>
      </w:pPr>
    </w:p>
    <w:sectPr w:rsidR="007B6EFB" w:rsidSect="00513E83">
      <w:headerReference w:type="default" r:id="rId6"/>
      <w:pgSz w:w="12240" w:h="20160" w:code="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408EA" w:rsidRDefault="000408EA" w:rsidP="00513E83">
      <w:pPr>
        <w:spacing w:line="240" w:lineRule="auto"/>
      </w:pPr>
      <w:r>
        <w:separator/>
      </w:r>
    </w:p>
  </w:endnote>
  <w:endnote w:type="continuationSeparator" w:id="0">
    <w:p w:rsidR="000408EA" w:rsidRDefault="000408EA" w:rsidP="00513E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408EA" w:rsidRDefault="000408EA" w:rsidP="00513E83">
      <w:pPr>
        <w:spacing w:line="240" w:lineRule="auto"/>
      </w:pPr>
      <w:r>
        <w:separator/>
      </w:r>
    </w:p>
  </w:footnote>
  <w:footnote w:type="continuationSeparator" w:id="0">
    <w:p w:rsidR="000408EA" w:rsidRDefault="000408EA" w:rsidP="00513E83">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13E83" w:rsidRDefault="00513E83">
    <w:pPr>
      <w:pStyle w:val="Encabezado"/>
    </w:pPr>
    <w:r>
      <w:rPr>
        <w:noProof/>
      </w:rPr>
      <w:drawing>
        <wp:inline distT="0" distB="0" distL="0" distR="0" wp14:anchorId="6D472373">
          <wp:extent cx="2468880" cy="670560"/>
          <wp:effectExtent l="0" t="0" r="762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68880" cy="67056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12B1"/>
    <w:rsid w:val="000408EA"/>
    <w:rsid w:val="000D12B1"/>
    <w:rsid w:val="00181BFD"/>
    <w:rsid w:val="00513E83"/>
    <w:rsid w:val="00780511"/>
    <w:rsid w:val="007B6EFB"/>
    <w:rsid w:val="007D7F28"/>
    <w:rsid w:val="008B2602"/>
    <w:rsid w:val="00A23138"/>
    <w:rsid w:val="00C90A8C"/>
    <w:rsid w:val="00D22D08"/>
    <w:rsid w:val="00DE4D98"/>
    <w:rsid w:val="00E85483"/>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E1D1BD9-A7A2-4FD8-93DF-139139178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3E83"/>
    <w:pPr>
      <w:spacing w:after="0" w:line="276" w:lineRule="auto"/>
    </w:pPr>
    <w:rPr>
      <w:rFonts w:ascii="Arial" w:eastAsia="Arial" w:hAnsi="Arial" w:cs="Arial"/>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13E83"/>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3E83"/>
    <w:rPr>
      <w:rFonts w:ascii="Arial" w:eastAsia="Arial" w:hAnsi="Arial" w:cs="Arial"/>
      <w:lang w:eastAsia="es-AR"/>
    </w:rPr>
  </w:style>
  <w:style w:type="paragraph" w:styleId="Piedepgina">
    <w:name w:val="footer"/>
    <w:basedOn w:val="Normal"/>
    <w:link w:val="PiedepginaCar"/>
    <w:uiPriority w:val="99"/>
    <w:unhideWhenUsed/>
    <w:rsid w:val="00513E83"/>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3E83"/>
    <w:rPr>
      <w:rFonts w:ascii="Arial" w:eastAsia="Arial" w:hAnsi="Arial" w:cs="Arial"/>
      <w:lang w:eastAsia="es-AR"/>
    </w:rPr>
  </w:style>
  <w:style w:type="paragraph" w:styleId="Textodeglobo">
    <w:name w:val="Balloon Text"/>
    <w:basedOn w:val="Normal"/>
    <w:link w:val="TextodegloboCar"/>
    <w:uiPriority w:val="99"/>
    <w:semiHidden/>
    <w:unhideWhenUsed/>
    <w:rsid w:val="00513E83"/>
    <w:pPr>
      <w:spacing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13E83"/>
    <w:rPr>
      <w:rFonts w:ascii="Segoe UI" w:eastAsia="Arial" w:hAnsi="Segoe UI" w:cs="Segoe UI"/>
      <w:sz w:val="18"/>
      <w:szCs w:val="18"/>
      <w:lang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302977">
      <w:bodyDiv w:val="1"/>
      <w:marLeft w:val="0"/>
      <w:marRight w:val="0"/>
      <w:marTop w:val="0"/>
      <w:marBottom w:val="0"/>
      <w:divBdr>
        <w:top w:val="none" w:sz="0" w:space="0" w:color="auto"/>
        <w:left w:val="none" w:sz="0" w:space="0" w:color="auto"/>
        <w:bottom w:val="none" w:sz="0" w:space="0" w:color="auto"/>
        <w:right w:val="none" w:sz="0" w:space="0" w:color="auto"/>
      </w:divBdr>
    </w:div>
    <w:div w:id="1793673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533</Words>
  <Characters>2936</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dc:creator>
  <cp:keywords/>
  <dc:description/>
  <cp:lastModifiedBy>Secre</cp:lastModifiedBy>
  <cp:revision>7</cp:revision>
  <cp:lastPrinted>2026-03-18T15:01:00Z</cp:lastPrinted>
  <dcterms:created xsi:type="dcterms:W3CDTF">2026-03-18T14:58:00Z</dcterms:created>
  <dcterms:modified xsi:type="dcterms:W3CDTF">2026-03-31T14:22:00Z</dcterms:modified>
</cp:coreProperties>
</file>