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0A271D" w14:textId="363ACDCE" w:rsidR="00FE4A3E" w:rsidRDefault="00FE4A3E" w:rsidP="00FE4A3E">
      <w:pPr>
        <w:spacing w:line="360" w:lineRule="auto"/>
        <w:jc w:val="right"/>
        <w:rPr>
          <w:rFonts w:ascii="Verdana" w:hAnsi="Verdana"/>
          <w:b/>
          <w:bCs/>
          <w:sz w:val="24"/>
          <w:szCs w:val="24"/>
        </w:rPr>
      </w:pPr>
      <w:r>
        <w:rPr>
          <w:rFonts w:ascii="Verdana" w:hAnsi="Verdana"/>
          <w:b/>
          <w:bCs/>
          <w:sz w:val="24"/>
          <w:szCs w:val="24"/>
        </w:rPr>
        <w:t xml:space="preserve">TANTI, </w:t>
      </w:r>
      <w:r w:rsidR="00514D78">
        <w:rPr>
          <w:rFonts w:ascii="Verdana" w:hAnsi="Verdana"/>
          <w:b/>
          <w:bCs/>
          <w:sz w:val="24"/>
          <w:szCs w:val="24"/>
        </w:rPr>
        <w:t>10</w:t>
      </w:r>
      <w:r>
        <w:rPr>
          <w:rFonts w:ascii="Verdana" w:hAnsi="Verdana"/>
          <w:b/>
          <w:bCs/>
          <w:sz w:val="24"/>
          <w:szCs w:val="24"/>
        </w:rPr>
        <w:t xml:space="preserve"> de Agosto de 2026</w:t>
      </w:r>
    </w:p>
    <w:p w14:paraId="205067D4" w14:textId="77777777" w:rsidR="00F14D6F" w:rsidRPr="00795EBB" w:rsidRDefault="00F14D6F" w:rsidP="00FE4A3E">
      <w:pPr>
        <w:spacing w:line="360" w:lineRule="auto"/>
        <w:jc w:val="right"/>
        <w:rPr>
          <w:rFonts w:ascii="Verdana" w:hAnsi="Verdana"/>
          <w:b/>
          <w:bCs/>
          <w:sz w:val="24"/>
          <w:szCs w:val="24"/>
        </w:rPr>
      </w:pPr>
    </w:p>
    <w:p w14:paraId="2C8B8427" w14:textId="3F67C367" w:rsidR="00FE4A3E" w:rsidRPr="00795EBB" w:rsidRDefault="00FE4A3E" w:rsidP="00FE4A3E">
      <w:pPr>
        <w:spacing w:line="360" w:lineRule="auto"/>
        <w:jc w:val="center"/>
        <w:rPr>
          <w:rFonts w:ascii="Verdana" w:hAnsi="Verdana"/>
          <w:b/>
          <w:bCs/>
          <w:sz w:val="24"/>
          <w:szCs w:val="24"/>
          <w:u w:val="single"/>
        </w:rPr>
      </w:pPr>
      <w:r w:rsidRPr="00795EBB">
        <w:rPr>
          <w:rFonts w:ascii="Verdana" w:hAnsi="Verdana"/>
          <w:b/>
          <w:bCs/>
          <w:sz w:val="24"/>
          <w:szCs w:val="24"/>
          <w:u w:val="single"/>
        </w:rPr>
        <w:t xml:space="preserve">DECRETO N° </w:t>
      </w:r>
      <w:r w:rsidR="00F14D6F">
        <w:rPr>
          <w:rFonts w:ascii="Verdana" w:hAnsi="Verdana"/>
          <w:b/>
          <w:bCs/>
          <w:sz w:val="24"/>
          <w:szCs w:val="24"/>
          <w:u w:val="single"/>
        </w:rPr>
        <w:t>90</w:t>
      </w:r>
      <w:r w:rsidRPr="00795EBB">
        <w:rPr>
          <w:rFonts w:ascii="Verdana" w:hAnsi="Verdana"/>
          <w:b/>
          <w:bCs/>
          <w:sz w:val="24"/>
          <w:szCs w:val="24"/>
          <w:u w:val="single"/>
        </w:rPr>
        <w:t>/2026</w:t>
      </w:r>
    </w:p>
    <w:p w14:paraId="6A72D11A" w14:textId="77777777" w:rsidR="00FE4A3E" w:rsidRDefault="00FE4A3E" w:rsidP="00FE4A3E">
      <w:pPr>
        <w:spacing w:line="360" w:lineRule="auto"/>
        <w:jc w:val="both"/>
        <w:rPr>
          <w:rFonts w:ascii="Verdana" w:hAnsi="Verdana"/>
          <w:b/>
          <w:bCs/>
          <w:sz w:val="24"/>
          <w:szCs w:val="24"/>
        </w:rPr>
      </w:pPr>
    </w:p>
    <w:p w14:paraId="553420CA" w14:textId="23E38505" w:rsidR="00FE4A3E" w:rsidRPr="00FE4A3E" w:rsidRDefault="00FE4A3E" w:rsidP="00FE4A3E">
      <w:pPr>
        <w:spacing w:line="360" w:lineRule="auto"/>
        <w:ind w:firstLine="708"/>
        <w:jc w:val="both"/>
        <w:rPr>
          <w:rFonts w:ascii="Verdana" w:hAnsi="Verdana"/>
          <w:b/>
          <w:bCs/>
          <w:sz w:val="24"/>
          <w:szCs w:val="24"/>
        </w:rPr>
      </w:pPr>
      <w:r w:rsidRPr="00FE4A3E">
        <w:rPr>
          <w:rFonts w:ascii="Verdana" w:hAnsi="Verdana"/>
          <w:b/>
          <w:bCs/>
          <w:sz w:val="24"/>
          <w:szCs w:val="24"/>
          <w:u w:val="single"/>
        </w:rPr>
        <w:t>VISTO</w:t>
      </w:r>
      <w:r w:rsidRPr="00FE4A3E">
        <w:rPr>
          <w:rFonts w:ascii="Verdana" w:hAnsi="Verdana"/>
          <w:b/>
          <w:bCs/>
          <w:sz w:val="24"/>
          <w:szCs w:val="24"/>
        </w:rPr>
        <w:t>:</w:t>
      </w:r>
    </w:p>
    <w:p w14:paraId="4BDABD6C" w14:textId="38D9C611" w:rsidR="00FE4A3E" w:rsidRPr="00FE4A3E" w:rsidRDefault="00FE4A3E" w:rsidP="00FE4A3E">
      <w:pPr>
        <w:spacing w:line="360" w:lineRule="auto"/>
        <w:ind w:firstLine="708"/>
        <w:jc w:val="both"/>
        <w:rPr>
          <w:rFonts w:ascii="Verdana" w:hAnsi="Verdana"/>
          <w:sz w:val="24"/>
          <w:szCs w:val="24"/>
        </w:rPr>
      </w:pPr>
      <w:r w:rsidRPr="00FE4A3E">
        <w:rPr>
          <w:rFonts w:ascii="Verdana" w:hAnsi="Verdana"/>
          <w:sz w:val="24"/>
          <w:szCs w:val="24"/>
        </w:rPr>
        <w:t xml:space="preserve">La Ordenanza Municipal N° 1548/25, mediante la cual se autorizó la ejecución por administración municipal de la obra </w:t>
      </w:r>
      <w:r w:rsidRPr="00FE4A3E">
        <w:rPr>
          <w:rFonts w:ascii="Verdana" w:hAnsi="Verdana"/>
          <w:b/>
          <w:bCs/>
          <w:sz w:val="24"/>
          <w:szCs w:val="24"/>
        </w:rPr>
        <w:t>"Cisterna para Agua Potable Barrio El Parador – Etapa I"</w:t>
      </w:r>
      <w:r w:rsidRPr="00FE4A3E">
        <w:rPr>
          <w:rFonts w:ascii="Verdana" w:hAnsi="Verdana"/>
          <w:sz w:val="24"/>
          <w:szCs w:val="24"/>
        </w:rPr>
        <w:t>, el cómputo y presupuesto correspondiente a la mano de obra elaborado por el Área Técnica Municipal; y</w:t>
      </w:r>
    </w:p>
    <w:p w14:paraId="21A1C27C" w14:textId="77777777" w:rsidR="00FE4A3E" w:rsidRPr="00FE4A3E" w:rsidRDefault="00FE4A3E" w:rsidP="00FE4A3E">
      <w:pPr>
        <w:spacing w:line="360" w:lineRule="auto"/>
        <w:ind w:firstLine="708"/>
        <w:jc w:val="both"/>
        <w:rPr>
          <w:rFonts w:ascii="Verdana" w:hAnsi="Verdana"/>
          <w:b/>
          <w:bCs/>
          <w:sz w:val="24"/>
          <w:szCs w:val="24"/>
          <w:u w:val="single"/>
        </w:rPr>
      </w:pPr>
      <w:r w:rsidRPr="00FE4A3E">
        <w:rPr>
          <w:rFonts w:ascii="Verdana" w:hAnsi="Verdana"/>
          <w:b/>
          <w:bCs/>
          <w:sz w:val="24"/>
          <w:szCs w:val="24"/>
          <w:u w:val="single"/>
        </w:rPr>
        <w:t>CONSIDERANDO:</w:t>
      </w:r>
    </w:p>
    <w:p w14:paraId="55AED840" w14:textId="46587DFB" w:rsidR="00FE4A3E" w:rsidRPr="00FE4A3E" w:rsidRDefault="00FE4A3E" w:rsidP="00FE4A3E">
      <w:pPr>
        <w:spacing w:line="360" w:lineRule="auto"/>
        <w:ind w:firstLine="708"/>
        <w:jc w:val="both"/>
        <w:rPr>
          <w:rFonts w:ascii="Verdana" w:hAnsi="Verdana"/>
          <w:sz w:val="24"/>
          <w:szCs w:val="24"/>
        </w:rPr>
      </w:pPr>
      <w:r w:rsidRPr="00FE4A3E">
        <w:rPr>
          <w:rFonts w:ascii="Verdana" w:hAnsi="Verdana"/>
          <w:sz w:val="24"/>
          <w:szCs w:val="24"/>
        </w:rPr>
        <w:t>Que la Ordenanza N° 1548/25 autorizó expresamente la ejecución de la obra por administración municipal</w:t>
      </w:r>
      <w:r>
        <w:rPr>
          <w:rFonts w:ascii="Verdana" w:hAnsi="Verdana"/>
          <w:sz w:val="24"/>
          <w:szCs w:val="24"/>
        </w:rPr>
        <w:t>.</w:t>
      </w:r>
    </w:p>
    <w:p w14:paraId="2FAAFAD9" w14:textId="77777777" w:rsidR="00FE4A3E" w:rsidRPr="00FE4A3E" w:rsidRDefault="00FE4A3E" w:rsidP="00FE4A3E">
      <w:pPr>
        <w:spacing w:line="360" w:lineRule="auto"/>
        <w:ind w:firstLine="708"/>
        <w:jc w:val="both"/>
        <w:rPr>
          <w:rFonts w:ascii="Verdana" w:hAnsi="Verdana"/>
          <w:sz w:val="24"/>
          <w:szCs w:val="24"/>
        </w:rPr>
      </w:pPr>
      <w:r w:rsidRPr="00FE4A3E">
        <w:rPr>
          <w:rFonts w:ascii="Verdana" w:hAnsi="Verdana"/>
          <w:sz w:val="24"/>
          <w:szCs w:val="24"/>
        </w:rPr>
        <w:t xml:space="preserve">Que la primera etapa comprende la construcción de una cisterna de </w:t>
      </w:r>
      <w:r w:rsidRPr="00FE4A3E">
        <w:rPr>
          <w:rFonts w:ascii="Verdana" w:hAnsi="Verdana"/>
          <w:b/>
          <w:bCs/>
          <w:sz w:val="24"/>
          <w:szCs w:val="24"/>
        </w:rPr>
        <w:t>680 m³</w:t>
      </w:r>
      <w:r w:rsidRPr="00FE4A3E">
        <w:rPr>
          <w:rFonts w:ascii="Verdana" w:hAnsi="Verdana"/>
          <w:sz w:val="24"/>
          <w:szCs w:val="24"/>
        </w:rPr>
        <w:t xml:space="preserve"> destinada a incrementar significativamente la capacidad de almacenamiento y distribución de agua potable para el Barrio El Parador, beneficiando a aproximadamente tres mil habitantes y mejorando la prestación del servicio público. </w:t>
      </w:r>
    </w:p>
    <w:p w14:paraId="4D662A60" w14:textId="3F4AB1A3" w:rsidR="00FE4A3E" w:rsidRPr="00FE4A3E" w:rsidRDefault="00FE4A3E" w:rsidP="00FE4A3E">
      <w:pPr>
        <w:spacing w:line="360" w:lineRule="auto"/>
        <w:ind w:firstLine="708"/>
        <w:jc w:val="both"/>
        <w:rPr>
          <w:rFonts w:ascii="Verdana" w:hAnsi="Verdana"/>
          <w:sz w:val="24"/>
          <w:szCs w:val="24"/>
        </w:rPr>
      </w:pPr>
      <w:r w:rsidRPr="00FE4A3E">
        <w:rPr>
          <w:rFonts w:ascii="Verdana" w:hAnsi="Verdana"/>
          <w:sz w:val="24"/>
          <w:szCs w:val="24"/>
        </w:rPr>
        <w:t xml:space="preserve">Que el Área Técnica Municipal confeccionó la memoria descriptiva, planos ejecutivos, cómputo y presupuesto de mano de obra, estableciendo un plazo estimado de ejecución de </w:t>
      </w:r>
      <w:r w:rsidRPr="00FE4A3E">
        <w:rPr>
          <w:rFonts w:ascii="Verdana" w:hAnsi="Verdana"/>
          <w:b/>
          <w:bCs/>
          <w:sz w:val="24"/>
          <w:szCs w:val="24"/>
        </w:rPr>
        <w:t>ciento veinte (120) días</w:t>
      </w:r>
      <w:r w:rsidRPr="00FE4A3E">
        <w:rPr>
          <w:rFonts w:ascii="Verdana" w:hAnsi="Verdana"/>
          <w:sz w:val="24"/>
          <w:szCs w:val="24"/>
        </w:rPr>
        <w:t xml:space="preserve"> y un presupuesto oficial para la contratación de la mano de obra que asciende a la suma de </w:t>
      </w:r>
      <w:r>
        <w:rPr>
          <w:rFonts w:ascii="Verdana" w:hAnsi="Verdana"/>
          <w:sz w:val="24"/>
          <w:szCs w:val="24"/>
        </w:rPr>
        <w:t xml:space="preserve">Pesos </w:t>
      </w:r>
      <w:r w:rsidRPr="00FE4A3E">
        <w:rPr>
          <w:rFonts w:ascii="Verdana" w:hAnsi="Verdana"/>
          <w:b/>
          <w:bCs/>
          <w:sz w:val="24"/>
          <w:szCs w:val="24"/>
        </w:rPr>
        <w:t>CIENTO ONCE MILLONES TRESCIENTOS SESENTA MIL NOVECIENTOS CINCUENTA Y CINCO CON 88/100 ($111.360.955,88)</w:t>
      </w:r>
      <w:r>
        <w:rPr>
          <w:rFonts w:ascii="Verdana" w:hAnsi="Verdana"/>
          <w:b/>
          <w:bCs/>
          <w:sz w:val="24"/>
          <w:szCs w:val="24"/>
        </w:rPr>
        <w:t>.</w:t>
      </w:r>
    </w:p>
    <w:p w14:paraId="63749305" w14:textId="690DE70B" w:rsidR="00FE4A3E" w:rsidRPr="00FE4A3E" w:rsidRDefault="00FE4A3E" w:rsidP="00FE4A3E">
      <w:pPr>
        <w:spacing w:line="360" w:lineRule="auto"/>
        <w:ind w:firstLine="708"/>
        <w:jc w:val="both"/>
        <w:rPr>
          <w:rFonts w:ascii="Verdana" w:hAnsi="Verdana"/>
          <w:sz w:val="24"/>
          <w:szCs w:val="24"/>
        </w:rPr>
      </w:pPr>
      <w:r w:rsidRPr="00FE4A3E">
        <w:rPr>
          <w:rFonts w:ascii="Verdana" w:hAnsi="Verdana"/>
          <w:sz w:val="24"/>
          <w:szCs w:val="24"/>
        </w:rPr>
        <w:lastRenderedPageBreak/>
        <w:t xml:space="preserve">Que atento el monto de la contratación corresponde aplicar el procedimiento de </w:t>
      </w:r>
      <w:r w:rsidRPr="00FE4A3E">
        <w:rPr>
          <w:rFonts w:ascii="Verdana" w:hAnsi="Verdana"/>
          <w:b/>
          <w:bCs/>
          <w:sz w:val="24"/>
          <w:szCs w:val="24"/>
        </w:rPr>
        <w:t>CONCURSO PRIVADO DE PRECIOS</w:t>
      </w:r>
      <w:r w:rsidRPr="00FE4A3E">
        <w:rPr>
          <w:rFonts w:ascii="Verdana" w:hAnsi="Verdana"/>
          <w:sz w:val="24"/>
          <w:szCs w:val="24"/>
        </w:rPr>
        <w:t>, previsto en los artículos 75, 76, 77 y 78 de la Ordenanza General de Contrataciones.</w:t>
      </w:r>
    </w:p>
    <w:p w14:paraId="0A39011C" w14:textId="77777777" w:rsidR="00FE4A3E" w:rsidRPr="00FE4A3E" w:rsidRDefault="00FE4A3E" w:rsidP="00FE4A3E">
      <w:pPr>
        <w:spacing w:line="360" w:lineRule="auto"/>
        <w:ind w:firstLine="708"/>
        <w:jc w:val="both"/>
        <w:rPr>
          <w:rFonts w:ascii="Verdana" w:hAnsi="Verdana"/>
          <w:sz w:val="24"/>
          <w:szCs w:val="24"/>
        </w:rPr>
      </w:pPr>
      <w:r w:rsidRPr="00FE4A3E">
        <w:rPr>
          <w:rFonts w:ascii="Verdana" w:hAnsi="Verdana"/>
          <w:sz w:val="24"/>
          <w:szCs w:val="24"/>
        </w:rPr>
        <w:t>Que conforme el artículo 75 deberán invitarse como mínimo tres (3) firmas locales y/o regionales, efectuarse la publicidad mediante avisos en lugares visibles y difusión radial con una anticipación mínima de tres días hábiles.</w:t>
      </w:r>
    </w:p>
    <w:p w14:paraId="47EC3DED" w14:textId="77777777" w:rsidR="00FE4A3E" w:rsidRPr="00FE4A3E" w:rsidRDefault="00FE4A3E" w:rsidP="00FE4A3E">
      <w:pPr>
        <w:spacing w:line="360" w:lineRule="auto"/>
        <w:ind w:firstLine="708"/>
        <w:jc w:val="both"/>
        <w:rPr>
          <w:rFonts w:ascii="Verdana" w:hAnsi="Verdana"/>
          <w:sz w:val="24"/>
          <w:szCs w:val="24"/>
        </w:rPr>
      </w:pPr>
      <w:r w:rsidRPr="00FE4A3E">
        <w:rPr>
          <w:rFonts w:ascii="Verdana" w:hAnsi="Verdana"/>
          <w:sz w:val="24"/>
          <w:szCs w:val="24"/>
        </w:rPr>
        <w:t>Que corresponde aprobar el Pliego de Bases y Condiciones Particulares que regirá el presente procedimiento y fijar fecha para la apertura de propuestas.</w:t>
      </w:r>
    </w:p>
    <w:p w14:paraId="4D109420" w14:textId="2F8D95A1"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rPr>
        <w:t>POR ELLO</w:t>
      </w:r>
    </w:p>
    <w:p w14:paraId="100F601A" w14:textId="77777777" w:rsidR="00FE4A3E" w:rsidRPr="00FE4A3E" w:rsidRDefault="00FE4A3E" w:rsidP="00FE4A3E">
      <w:pPr>
        <w:spacing w:line="360" w:lineRule="auto"/>
        <w:jc w:val="center"/>
        <w:rPr>
          <w:rFonts w:ascii="Verdana" w:hAnsi="Verdana"/>
          <w:b/>
          <w:bCs/>
          <w:sz w:val="24"/>
          <w:szCs w:val="24"/>
        </w:rPr>
      </w:pPr>
      <w:r w:rsidRPr="00FE4A3E">
        <w:rPr>
          <w:rFonts w:ascii="Verdana" w:hAnsi="Verdana"/>
          <w:b/>
          <w:bCs/>
          <w:sz w:val="24"/>
          <w:szCs w:val="24"/>
        </w:rPr>
        <w:t>EL INTENDENTE MUNICIPAL DE TANTI</w:t>
      </w:r>
    </w:p>
    <w:p w14:paraId="38E67C12" w14:textId="77777777" w:rsidR="00FE4A3E" w:rsidRPr="00FE4A3E" w:rsidRDefault="00FE4A3E" w:rsidP="00FE4A3E">
      <w:pPr>
        <w:spacing w:line="360" w:lineRule="auto"/>
        <w:jc w:val="center"/>
        <w:rPr>
          <w:rFonts w:ascii="Verdana" w:hAnsi="Verdana"/>
          <w:sz w:val="24"/>
          <w:szCs w:val="24"/>
        </w:rPr>
      </w:pPr>
      <w:r w:rsidRPr="00FE4A3E">
        <w:rPr>
          <w:rFonts w:ascii="Verdana" w:hAnsi="Verdana"/>
          <w:b/>
          <w:bCs/>
          <w:sz w:val="24"/>
          <w:szCs w:val="24"/>
        </w:rPr>
        <w:t>DECRETA</w:t>
      </w:r>
    </w:p>
    <w:p w14:paraId="7D3281F9" w14:textId="40781061"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u w:val="single"/>
        </w:rPr>
        <w:t>Artículo 1°</w:t>
      </w:r>
      <w:r>
        <w:rPr>
          <w:rFonts w:ascii="Verdana" w:hAnsi="Verdana"/>
          <w:b/>
          <w:bCs/>
          <w:sz w:val="24"/>
          <w:szCs w:val="24"/>
          <w:u w:val="single"/>
        </w:rPr>
        <w:t>:</w:t>
      </w:r>
      <w:r w:rsidRPr="00FE4A3E">
        <w:rPr>
          <w:rFonts w:ascii="Verdana" w:hAnsi="Verdana"/>
          <w:sz w:val="24"/>
          <w:szCs w:val="24"/>
        </w:rPr>
        <w:t xml:space="preserve"> </w:t>
      </w:r>
      <w:r w:rsidRPr="00FE4A3E">
        <w:rPr>
          <w:rFonts w:ascii="Verdana" w:hAnsi="Verdana"/>
          <w:b/>
          <w:bCs/>
          <w:sz w:val="24"/>
          <w:szCs w:val="24"/>
        </w:rPr>
        <w:t>CONVÓCASE</w:t>
      </w:r>
      <w:r w:rsidRPr="00FE4A3E">
        <w:rPr>
          <w:rFonts w:ascii="Verdana" w:hAnsi="Verdana"/>
          <w:sz w:val="24"/>
          <w:szCs w:val="24"/>
        </w:rPr>
        <w:t xml:space="preserve"> a </w:t>
      </w:r>
      <w:r w:rsidRPr="00FE4A3E">
        <w:rPr>
          <w:rFonts w:ascii="Verdana" w:hAnsi="Verdana"/>
          <w:b/>
          <w:bCs/>
          <w:sz w:val="24"/>
          <w:szCs w:val="24"/>
        </w:rPr>
        <w:t xml:space="preserve">CONCURSO PRIVADO DE PRECIOS </w:t>
      </w:r>
      <w:r w:rsidRPr="00FE4A3E">
        <w:rPr>
          <w:rFonts w:ascii="Verdana" w:hAnsi="Verdana"/>
          <w:sz w:val="24"/>
          <w:szCs w:val="24"/>
        </w:rPr>
        <w:t xml:space="preserve">para la contratación de la </w:t>
      </w:r>
      <w:r w:rsidRPr="00FE4A3E">
        <w:rPr>
          <w:rFonts w:ascii="Verdana" w:hAnsi="Verdana"/>
          <w:b/>
          <w:bCs/>
          <w:sz w:val="24"/>
          <w:szCs w:val="24"/>
        </w:rPr>
        <w:t>mano de obra</w:t>
      </w:r>
      <w:r w:rsidRPr="00FE4A3E">
        <w:rPr>
          <w:rFonts w:ascii="Verdana" w:hAnsi="Verdana"/>
          <w:sz w:val="24"/>
          <w:szCs w:val="24"/>
        </w:rPr>
        <w:t xml:space="preserve"> destinada a la ejecución de la obra denominada </w:t>
      </w:r>
      <w:r w:rsidRPr="00FE4A3E">
        <w:rPr>
          <w:rFonts w:ascii="Verdana" w:hAnsi="Verdana"/>
          <w:b/>
          <w:bCs/>
          <w:sz w:val="24"/>
          <w:szCs w:val="24"/>
        </w:rPr>
        <w:t>"CISTERNA PARA AGUA POTABLE BARRIO EL PARADOR – ETAPA I"</w:t>
      </w:r>
      <w:r w:rsidRPr="00FE4A3E">
        <w:rPr>
          <w:rFonts w:ascii="Verdana" w:hAnsi="Verdana"/>
          <w:sz w:val="24"/>
          <w:szCs w:val="24"/>
        </w:rPr>
        <w:t xml:space="preserve">, conforme memoria descriptiva, planos, cómputo y presupuesto oficial elaborado por el Área Técnica Municipal. </w:t>
      </w:r>
    </w:p>
    <w:p w14:paraId="15B11995" w14:textId="108C6245"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u w:val="single"/>
        </w:rPr>
        <w:t>Artículo 2°</w:t>
      </w:r>
      <w:r>
        <w:rPr>
          <w:rFonts w:ascii="Verdana" w:hAnsi="Verdana"/>
          <w:b/>
          <w:bCs/>
          <w:sz w:val="24"/>
          <w:szCs w:val="24"/>
          <w:u w:val="single"/>
        </w:rPr>
        <w:t>:</w:t>
      </w:r>
      <w:r w:rsidRPr="00FE4A3E">
        <w:rPr>
          <w:rFonts w:ascii="Verdana" w:hAnsi="Verdana"/>
          <w:sz w:val="24"/>
          <w:szCs w:val="24"/>
        </w:rPr>
        <w:t xml:space="preserve"> </w:t>
      </w:r>
      <w:r w:rsidRPr="00FE4A3E">
        <w:rPr>
          <w:rFonts w:ascii="Verdana" w:hAnsi="Verdana"/>
          <w:b/>
          <w:bCs/>
          <w:sz w:val="24"/>
          <w:szCs w:val="24"/>
        </w:rPr>
        <w:t>APRUÉBASE</w:t>
      </w:r>
      <w:r w:rsidRPr="00FE4A3E">
        <w:rPr>
          <w:rFonts w:ascii="Verdana" w:hAnsi="Verdana"/>
          <w:sz w:val="24"/>
          <w:szCs w:val="24"/>
        </w:rPr>
        <w:t xml:space="preserve"> el Pliego de Bases y Condiciones Generales y Particulares que regirá el presente procedimiento de contratación y que forma parte integrante del presente Decreto como </w:t>
      </w:r>
      <w:r w:rsidRPr="00FE4A3E">
        <w:rPr>
          <w:rFonts w:ascii="Verdana" w:hAnsi="Verdana"/>
          <w:b/>
          <w:bCs/>
          <w:sz w:val="24"/>
          <w:szCs w:val="24"/>
        </w:rPr>
        <w:t>Anexo I</w:t>
      </w:r>
      <w:r w:rsidRPr="00FE4A3E">
        <w:rPr>
          <w:rFonts w:ascii="Verdana" w:hAnsi="Verdana"/>
          <w:sz w:val="24"/>
          <w:szCs w:val="24"/>
        </w:rPr>
        <w:t>.</w:t>
      </w:r>
    </w:p>
    <w:p w14:paraId="462F20CD" w14:textId="0B96117A"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u w:val="single"/>
        </w:rPr>
        <w:t>Artículo 3°</w:t>
      </w:r>
      <w:r>
        <w:rPr>
          <w:rFonts w:ascii="Verdana" w:hAnsi="Verdana"/>
          <w:b/>
          <w:bCs/>
          <w:sz w:val="24"/>
          <w:szCs w:val="24"/>
          <w:u w:val="single"/>
        </w:rPr>
        <w:t>:</w:t>
      </w:r>
      <w:r w:rsidRPr="00FE4A3E">
        <w:rPr>
          <w:rFonts w:ascii="Verdana" w:hAnsi="Verdana"/>
          <w:sz w:val="24"/>
          <w:szCs w:val="24"/>
        </w:rPr>
        <w:t xml:space="preserve"> </w:t>
      </w:r>
      <w:r w:rsidRPr="00FE4A3E">
        <w:rPr>
          <w:rFonts w:ascii="Verdana" w:hAnsi="Verdana"/>
          <w:b/>
          <w:bCs/>
          <w:sz w:val="24"/>
          <w:szCs w:val="24"/>
        </w:rPr>
        <w:t>ESTABLÉCESE</w:t>
      </w:r>
      <w:r w:rsidRPr="00FE4A3E">
        <w:rPr>
          <w:rFonts w:ascii="Verdana" w:hAnsi="Verdana"/>
          <w:sz w:val="24"/>
          <w:szCs w:val="24"/>
        </w:rPr>
        <w:t xml:space="preserve"> como presupuesto oficial para la contratación de la mano de obra la suma de </w:t>
      </w:r>
      <w:r w:rsidRPr="00FE4A3E">
        <w:rPr>
          <w:rFonts w:ascii="Verdana" w:hAnsi="Verdana"/>
          <w:b/>
          <w:bCs/>
          <w:sz w:val="24"/>
          <w:szCs w:val="24"/>
        </w:rPr>
        <w:t>PESOS CIENTO ONCE MILLONES TRESCIENTOS SESENTA MIL NOVECIENTOS CINCUENTA Y CINCO CON 88/100 ($111.360.955,88)</w:t>
      </w:r>
      <w:r w:rsidRPr="00FE4A3E">
        <w:rPr>
          <w:rFonts w:ascii="Verdana" w:hAnsi="Verdana"/>
          <w:sz w:val="24"/>
          <w:szCs w:val="24"/>
        </w:rPr>
        <w:t xml:space="preserve">, conforme cómputo y presupuesto elaborado por el Área Técnica Municipal. </w:t>
      </w:r>
    </w:p>
    <w:p w14:paraId="190A30BE" w14:textId="5468A421"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u w:val="single"/>
        </w:rPr>
        <w:lastRenderedPageBreak/>
        <w:t>Artículo 4°</w:t>
      </w:r>
      <w:r>
        <w:rPr>
          <w:rFonts w:ascii="Verdana" w:hAnsi="Verdana"/>
          <w:b/>
          <w:bCs/>
          <w:sz w:val="24"/>
          <w:szCs w:val="24"/>
          <w:u w:val="single"/>
        </w:rPr>
        <w:t>:</w:t>
      </w:r>
      <w:r w:rsidRPr="00FE4A3E">
        <w:rPr>
          <w:rFonts w:ascii="Verdana" w:hAnsi="Verdana"/>
          <w:sz w:val="24"/>
          <w:szCs w:val="24"/>
        </w:rPr>
        <w:t xml:space="preserve"> </w:t>
      </w:r>
      <w:r w:rsidRPr="00FE4A3E">
        <w:rPr>
          <w:rFonts w:ascii="Verdana" w:hAnsi="Verdana"/>
          <w:b/>
          <w:bCs/>
          <w:sz w:val="24"/>
          <w:szCs w:val="24"/>
        </w:rPr>
        <w:t>FÍJASE</w:t>
      </w:r>
      <w:r w:rsidRPr="00FE4A3E">
        <w:rPr>
          <w:rFonts w:ascii="Verdana" w:hAnsi="Verdana"/>
          <w:sz w:val="24"/>
          <w:szCs w:val="24"/>
        </w:rPr>
        <w:t xml:space="preserve"> como plazo de ejecución de la obra el término de </w:t>
      </w:r>
      <w:r w:rsidRPr="00FE4A3E">
        <w:rPr>
          <w:rFonts w:ascii="Verdana" w:hAnsi="Verdana"/>
          <w:b/>
          <w:bCs/>
          <w:sz w:val="24"/>
          <w:szCs w:val="24"/>
        </w:rPr>
        <w:t>CIENTO VEINTE (120) días corridos</w:t>
      </w:r>
      <w:r w:rsidRPr="00FE4A3E">
        <w:rPr>
          <w:rFonts w:ascii="Verdana" w:hAnsi="Verdana"/>
          <w:sz w:val="24"/>
          <w:szCs w:val="24"/>
        </w:rPr>
        <w:t xml:space="preserve">, contados desde la suscripción del Acta de Inicio de Obra. </w:t>
      </w:r>
    </w:p>
    <w:p w14:paraId="36FC9B73" w14:textId="7C21424B"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u w:val="single"/>
        </w:rPr>
        <w:t>Artículo 5°:</w:t>
      </w:r>
      <w:r w:rsidRPr="00FE4A3E">
        <w:rPr>
          <w:rFonts w:ascii="Verdana" w:hAnsi="Verdana"/>
          <w:sz w:val="24"/>
          <w:szCs w:val="24"/>
        </w:rPr>
        <w:t xml:space="preserve"> </w:t>
      </w:r>
      <w:r w:rsidRPr="00FE4A3E">
        <w:rPr>
          <w:rFonts w:ascii="Verdana" w:hAnsi="Verdana"/>
          <w:b/>
          <w:bCs/>
          <w:sz w:val="24"/>
          <w:szCs w:val="24"/>
        </w:rPr>
        <w:t>DISPÓNESE</w:t>
      </w:r>
      <w:r w:rsidRPr="00FE4A3E">
        <w:rPr>
          <w:rFonts w:ascii="Verdana" w:hAnsi="Verdana"/>
          <w:sz w:val="24"/>
          <w:szCs w:val="24"/>
        </w:rPr>
        <w:t xml:space="preserve"> que se invite a participar, como mínimo, a </w:t>
      </w:r>
      <w:r w:rsidRPr="00FE4A3E">
        <w:rPr>
          <w:rFonts w:ascii="Verdana" w:hAnsi="Verdana"/>
          <w:b/>
          <w:bCs/>
          <w:sz w:val="24"/>
          <w:szCs w:val="24"/>
        </w:rPr>
        <w:t>tres (3) firmas locales y/o regionales</w:t>
      </w:r>
      <w:r w:rsidRPr="00FE4A3E">
        <w:rPr>
          <w:rFonts w:ascii="Verdana" w:hAnsi="Verdana"/>
          <w:sz w:val="24"/>
          <w:szCs w:val="24"/>
        </w:rPr>
        <w:t xml:space="preserve"> vinculadas al rubro de la construcción, de conformidad con lo dispuesto por el artículo 75 de la Ordenanza General de Contrataciones.</w:t>
      </w:r>
    </w:p>
    <w:p w14:paraId="13E46DFC" w14:textId="0098E347"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u w:val="single"/>
        </w:rPr>
        <w:t>Artículo 6°</w:t>
      </w:r>
      <w:r>
        <w:rPr>
          <w:rFonts w:ascii="Verdana" w:hAnsi="Verdana"/>
          <w:b/>
          <w:bCs/>
          <w:sz w:val="24"/>
          <w:szCs w:val="24"/>
          <w:u w:val="single"/>
        </w:rPr>
        <w:t>:</w:t>
      </w:r>
      <w:r w:rsidRPr="00FE4A3E">
        <w:rPr>
          <w:rFonts w:ascii="Verdana" w:hAnsi="Verdana"/>
          <w:sz w:val="24"/>
          <w:szCs w:val="24"/>
        </w:rPr>
        <w:t xml:space="preserve"> </w:t>
      </w:r>
      <w:r w:rsidRPr="00FE4A3E">
        <w:rPr>
          <w:rFonts w:ascii="Verdana" w:hAnsi="Verdana"/>
          <w:b/>
          <w:bCs/>
          <w:sz w:val="24"/>
          <w:szCs w:val="24"/>
        </w:rPr>
        <w:t>ORDÉNASE</w:t>
      </w:r>
      <w:r w:rsidRPr="00FE4A3E">
        <w:rPr>
          <w:rFonts w:ascii="Verdana" w:hAnsi="Verdana"/>
          <w:sz w:val="24"/>
          <w:szCs w:val="24"/>
        </w:rPr>
        <w:t xml:space="preserve"> la publicación de avisos del presente llamado en lugares visibles de acceso al público en dependencias municipales y la difusión radial en emisoras locales con una anticipación mínima de </w:t>
      </w:r>
      <w:r w:rsidRPr="00FE4A3E">
        <w:rPr>
          <w:rFonts w:ascii="Verdana" w:hAnsi="Verdana"/>
          <w:b/>
          <w:bCs/>
          <w:sz w:val="24"/>
          <w:szCs w:val="24"/>
        </w:rPr>
        <w:t>tres (3) días hábiles</w:t>
      </w:r>
      <w:r w:rsidRPr="00FE4A3E">
        <w:rPr>
          <w:rFonts w:ascii="Verdana" w:hAnsi="Verdana"/>
          <w:sz w:val="24"/>
          <w:szCs w:val="24"/>
        </w:rPr>
        <w:t xml:space="preserve"> respecto de la fecha fijada para la apertura de las propuestas, sin perjuicio de utilizar otros medios de difusión que contribuyan a una mayor concurrencia de oferentes.</w:t>
      </w:r>
    </w:p>
    <w:p w14:paraId="3D5C22E8" w14:textId="0F55FB8D"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u w:val="single"/>
        </w:rPr>
        <w:t>Artículo 7°</w:t>
      </w:r>
      <w:r>
        <w:rPr>
          <w:rFonts w:ascii="Verdana" w:hAnsi="Verdana"/>
          <w:b/>
          <w:bCs/>
          <w:sz w:val="24"/>
          <w:szCs w:val="24"/>
          <w:u w:val="single"/>
        </w:rPr>
        <w:t>:</w:t>
      </w:r>
      <w:r w:rsidRPr="00FE4A3E">
        <w:rPr>
          <w:rFonts w:ascii="Verdana" w:hAnsi="Verdana"/>
          <w:sz w:val="24"/>
          <w:szCs w:val="24"/>
        </w:rPr>
        <w:t xml:space="preserve"> </w:t>
      </w:r>
      <w:r w:rsidRPr="00FE4A3E">
        <w:rPr>
          <w:rFonts w:ascii="Verdana" w:hAnsi="Verdana"/>
          <w:b/>
          <w:bCs/>
          <w:sz w:val="24"/>
          <w:szCs w:val="24"/>
        </w:rPr>
        <w:t>FÍJASE</w:t>
      </w:r>
      <w:r w:rsidRPr="00FE4A3E">
        <w:rPr>
          <w:rFonts w:ascii="Verdana" w:hAnsi="Verdana"/>
          <w:sz w:val="24"/>
          <w:szCs w:val="24"/>
        </w:rPr>
        <w:t xml:space="preserve"> la apertura de las propuestas para </w:t>
      </w:r>
      <w:r w:rsidRPr="00F14D6F">
        <w:rPr>
          <w:rFonts w:ascii="Verdana" w:hAnsi="Verdana"/>
          <w:sz w:val="24"/>
          <w:szCs w:val="24"/>
        </w:rPr>
        <w:t xml:space="preserve">el día </w:t>
      </w:r>
      <w:r w:rsidR="00F14D6F" w:rsidRPr="00F14D6F">
        <w:rPr>
          <w:rFonts w:ascii="Verdana" w:hAnsi="Verdana"/>
          <w:sz w:val="24"/>
          <w:szCs w:val="24"/>
        </w:rPr>
        <w:t>24</w:t>
      </w:r>
      <w:r w:rsidRPr="00F14D6F">
        <w:rPr>
          <w:rFonts w:ascii="Verdana" w:hAnsi="Verdana"/>
          <w:sz w:val="24"/>
          <w:szCs w:val="24"/>
        </w:rPr>
        <w:t xml:space="preserve"> de </w:t>
      </w:r>
      <w:proofErr w:type="gramStart"/>
      <w:r w:rsidRPr="00F14D6F">
        <w:rPr>
          <w:rFonts w:ascii="Verdana" w:hAnsi="Verdana"/>
          <w:sz w:val="24"/>
          <w:szCs w:val="24"/>
        </w:rPr>
        <w:t>Agosto</w:t>
      </w:r>
      <w:proofErr w:type="gramEnd"/>
      <w:r w:rsidRPr="00F14D6F">
        <w:rPr>
          <w:rFonts w:ascii="Verdana" w:hAnsi="Verdana"/>
          <w:sz w:val="24"/>
          <w:szCs w:val="24"/>
        </w:rPr>
        <w:t xml:space="preserve"> de 2026, a las </w:t>
      </w:r>
      <w:r w:rsidR="00F14D6F" w:rsidRPr="00F14D6F">
        <w:rPr>
          <w:rFonts w:ascii="Verdana" w:hAnsi="Verdana"/>
          <w:sz w:val="24"/>
          <w:szCs w:val="24"/>
        </w:rPr>
        <w:t>9</w:t>
      </w:r>
      <w:r w:rsidR="003E2E62">
        <w:rPr>
          <w:rFonts w:ascii="Verdana" w:hAnsi="Verdana"/>
          <w:sz w:val="24"/>
          <w:szCs w:val="24"/>
        </w:rPr>
        <w:t>:45</w:t>
      </w:r>
      <w:r w:rsidRPr="00F14D6F">
        <w:rPr>
          <w:rFonts w:ascii="Verdana" w:hAnsi="Verdana"/>
          <w:sz w:val="24"/>
          <w:szCs w:val="24"/>
        </w:rPr>
        <w:t xml:space="preserve"> horas,</w:t>
      </w:r>
      <w:r w:rsidRPr="00FE4A3E">
        <w:rPr>
          <w:rFonts w:ascii="Verdana" w:hAnsi="Verdana"/>
          <w:color w:val="EE0000"/>
          <w:sz w:val="24"/>
          <w:szCs w:val="24"/>
        </w:rPr>
        <w:t xml:space="preserve"> </w:t>
      </w:r>
      <w:r w:rsidRPr="00FE4A3E">
        <w:rPr>
          <w:rFonts w:ascii="Verdana" w:hAnsi="Verdana"/>
          <w:sz w:val="24"/>
          <w:szCs w:val="24"/>
        </w:rPr>
        <w:t>en la sede de la Municipalidad de Tanti, pudiéndose presentar ofertas hasta el momento fijado para su apertura.</w:t>
      </w:r>
    </w:p>
    <w:p w14:paraId="12B3E744" w14:textId="64219F46"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u w:val="single"/>
        </w:rPr>
        <w:t>Artículo 8°</w:t>
      </w:r>
      <w:r>
        <w:rPr>
          <w:rFonts w:ascii="Verdana" w:hAnsi="Verdana"/>
          <w:b/>
          <w:bCs/>
          <w:sz w:val="24"/>
          <w:szCs w:val="24"/>
          <w:u w:val="single"/>
        </w:rPr>
        <w:t>:</w:t>
      </w:r>
      <w:r w:rsidRPr="00FE4A3E">
        <w:rPr>
          <w:rFonts w:ascii="Verdana" w:hAnsi="Verdana"/>
          <w:sz w:val="24"/>
          <w:szCs w:val="24"/>
        </w:rPr>
        <w:t xml:space="preserve"> </w:t>
      </w:r>
      <w:r w:rsidRPr="00FE4A3E">
        <w:rPr>
          <w:rFonts w:ascii="Verdana" w:hAnsi="Verdana"/>
          <w:b/>
          <w:bCs/>
          <w:sz w:val="24"/>
          <w:szCs w:val="24"/>
        </w:rPr>
        <w:t>ESTABLÉCESE</w:t>
      </w:r>
      <w:r w:rsidRPr="00FE4A3E">
        <w:rPr>
          <w:rFonts w:ascii="Verdana" w:hAnsi="Verdana"/>
          <w:sz w:val="24"/>
          <w:szCs w:val="24"/>
        </w:rPr>
        <w:t xml:space="preserve"> que, en caso de no obtenerse al menos dos (2) propuestas admisibles, se procederá a efectuar un segundo llamado conforme lo previsto en el artículo 76 de la Ordenanza General de Contrataciones y, de persistir dicha circunstancia, el Departamento Ejecutivo quedará facultado para contratar en forma directa.</w:t>
      </w:r>
    </w:p>
    <w:p w14:paraId="1ABBCC09" w14:textId="4CB4ED48"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u w:val="single"/>
        </w:rPr>
        <w:t>Artículo 9°</w:t>
      </w:r>
      <w:r>
        <w:rPr>
          <w:rFonts w:ascii="Verdana" w:hAnsi="Verdana"/>
          <w:b/>
          <w:bCs/>
          <w:sz w:val="24"/>
          <w:szCs w:val="24"/>
          <w:u w:val="single"/>
        </w:rPr>
        <w:t>:</w:t>
      </w:r>
      <w:r w:rsidRPr="00FE4A3E">
        <w:rPr>
          <w:rFonts w:ascii="Verdana" w:hAnsi="Verdana"/>
          <w:sz w:val="24"/>
          <w:szCs w:val="24"/>
        </w:rPr>
        <w:t xml:space="preserve"> </w:t>
      </w:r>
      <w:r w:rsidRPr="00FE4A3E">
        <w:rPr>
          <w:rFonts w:ascii="Verdana" w:hAnsi="Verdana"/>
          <w:b/>
          <w:bCs/>
          <w:sz w:val="24"/>
          <w:szCs w:val="24"/>
        </w:rPr>
        <w:t>FACÚLTASE</w:t>
      </w:r>
      <w:r w:rsidRPr="00FE4A3E">
        <w:rPr>
          <w:rFonts w:ascii="Verdana" w:hAnsi="Verdana"/>
          <w:sz w:val="24"/>
          <w:szCs w:val="24"/>
        </w:rPr>
        <w:t xml:space="preserve"> a la Secretaría de Gobierno para realizar todos los actos administrativos necesarios para la sustanciación del presente procedimiento de contratación.</w:t>
      </w:r>
    </w:p>
    <w:p w14:paraId="318F2ED1" w14:textId="5937D2B8" w:rsidR="00FE4A3E" w:rsidRDefault="00FE4A3E" w:rsidP="00FE4A3E">
      <w:pPr>
        <w:spacing w:line="360" w:lineRule="auto"/>
        <w:jc w:val="both"/>
        <w:rPr>
          <w:rFonts w:ascii="Verdana" w:hAnsi="Verdana"/>
          <w:sz w:val="24"/>
          <w:szCs w:val="24"/>
        </w:rPr>
      </w:pPr>
      <w:r w:rsidRPr="00FE4A3E">
        <w:rPr>
          <w:rFonts w:ascii="Verdana" w:hAnsi="Verdana"/>
          <w:b/>
          <w:bCs/>
          <w:sz w:val="24"/>
          <w:szCs w:val="24"/>
          <w:u w:val="single"/>
        </w:rPr>
        <w:t>Artículo 10°</w:t>
      </w:r>
      <w:r>
        <w:rPr>
          <w:rFonts w:ascii="Verdana" w:hAnsi="Verdana"/>
          <w:b/>
          <w:bCs/>
          <w:sz w:val="24"/>
          <w:szCs w:val="24"/>
          <w:u w:val="single"/>
        </w:rPr>
        <w:t>:</w:t>
      </w:r>
      <w:r w:rsidRPr="00FE4A3E">
        <w:rPr>
          <w:rFonts w:ascii="Verdana" w:hAnsi="Verdana"/>
          <w:sz w:val="24"/>
          <w:szCs w:val="24"/>
        </w:rPr>
        <w:t xml:space="preserve"> </w:t>
      </w:r>
      <w:r w:rsidRPr="00FE4A3E">
        <w:rPr>
          <w:rFonts w:ascii="Verdana" w:hAnsi="Verdana"/>
          <w:b/>
          <w:bCs/>
          <w:sz w:val="24"/>
          <w:szCs w:val="24"/>
        </w:rPr>
        <w:t>PROTOCOLÍCESE,</w:t>
      </w:r>
      <w:r w:rsidRPr="00FE4A3E">
        <w:rPr>
          <w:rFonts w:ascii="Verdana" w:hAnsi="Verdana"/>
          <w:sz w:val="24"/>
          <w:szCs w:val="24"/>
        </w:rPr>
        <w:t xml:space="preserve"> publíquese, dese al Registro Municipal y archívese.</w:t>
      </w:r>
    </w:p>
    <w:p w14:paraId="59F52FCD" w14:textId="3E9D8FEA" w:rsidR="00FE4A3E" w:rsidRPr="00FE4A3E" w:rsidRDefault="00FE4A3E" w:rsidP="00F23E74">
      <w:pPr>
        <w:spacing w:line="360" w:lineRule="auto"/>
        <w:jc w:val="center"/>
        <w:rPr>
          <w:rFonts w:ascii="Verdana" w:hAnsi="Verdana"/>
          <w:b/>
          <w:bCs/>
          <w:sz w:val="24"/>
          <w:szCs w:val="24"/>
        </w:rPr>
      </w:pPr>
      <w:r w:rsidRPr="00FE4A3E">
        <w:rPr>
          <w:rFonts w:ascii="Verdana" w:hAnsi="Verdana"/>
          <w:b/>
          <w:bCs/>
          <w:sz w:val="24"/>
          <w:szCs w:val="24"/>
        </w:rPr>
        <w:lastRenderedPageBreak/>
        <w:t>ANEXO I</w:t>
      </w:r>
      <w:r w:rsidR="00F23E74">
        <w:rPr>
          <w:rFonts w:ascii="Verdana" w:hAnsi="Verdana"/>
          <w:b/>
          <w:bCs/>
          <w:sz w:val="24"/>
          <w:szCs w:val="24"/>
        </w:rPr>
        <w:t xml:space="preserve"> - </w:t>
      </w:r>
      <w:r w:rsidRPr="00FE4A3E">
        <w:rPr>
          <w:rFonts w:ascii="Verdana" w:hAnsi="Verdana"/>
          <w:b/>
          <w:bCs/>
          <w:sz w:val="24"/>
          <w:szCs w:val="24"/>
        </w:rPr>
        <w:t>PLIEGO DE BASES Y CONDICIONES PARTICULARES</w:t>
      </w:r>
    </w:p>
    <w:p w14:paraId="285A9966" w14:textId="70505047" w:rsidR="00FE4A3E" w:rsidRPr="00FE4A3E" w:rsidRDefault="00FE4A3E" w:rsidP="00F23E74">
      <w:pPr>
        <w:spacing w:line="360" w:lineRule="auto"/>
        <w:jc w:val="center"/>
        <w:rPr>
          <w:rFonts w:ascii="Verdana" w:hAnsi="Verdana"/>
          <w:b/>
          <w:bCs/>
          <w:sz w:val="24"/>
          <w:szCs w:val="24"/>
        </w:rPr>
      </w:pPr>
      <w:r w:rsidRPr="00FE4A3E">
        <w:rPr>
          <w:rFonts w:ascii="Verdana" w:hAnsi="Verdana"/>
          <w:b/>
          <w:bCs/>
          <w:sz w:val="24"/>
          <w:szCs w:val="24"/>
        </w:rPr>
        <w:t>CONCURSO PRIVADO DE PRECIOS CONTRATACIÓN DE MANO DE OBRA</w:t>
      </w:r>
    </w:p>
    <w:p w14:paraId="36BBAD54" w14:textId="77777777" w:rsidR="00FE4A3E" w:rsidRPr="00FE4A3E" w:rsidRDefault="00FE4A3E" w:rsidP="00C541EB">
      <w:pPr>
        <w:pBdr>
          <w:bottom w:val="single" w:sz="4" w:space="1" w:color="auto"/>
        </w:pBdr>
        <w:spacing w:line="360" w:lineRule="auto"/>
        <w:jc w:val="both"/>
        <w:rPr>
          <w:rFonts w:ascii="Verdana" w:hAnsi="Verdana"/>
          <w:sz w:val="24"/>
          <w:szCs w:val="24"/>
        </w:rPr>
      </w:pPr>
      <w:r w:rsidRPr="00FE4A3E">
        <w:rPr>
          <w:rFonts w:ascii="Verdana" w:hAnsi="Verdana"/>
          <w:b/>
          <w:bCs/>
          <w:sz w:val="24"/>
          <w:szCs w:val="24"/>
        </w:rPr>
        <w:t>OBRA: "CISTERNA PARA AGUA POTABLE BARRIO EL PARADOR – ETAPA I"</w:t>
      </w:r>
    </w:p>
    <w:p w14:paraId="1EA7148F" w14:textId="77777777" w:rsidR="00C541EB" w:rsidRDefault="00C541EB" w:rsidP="00FE4A3E">
      <w:pPr>
        <w:spacing w:line="360" w:lineRule="auto"/>
        <w:jc w:val="both"/>
        <w:rPr>
          <w:rFonts w:ascii="Verdana" w:hAnsi="Verdana"/>
          <w:b/>
          <w:bCs/>
          <w:sz w:val="24"/>
          <w:szCs w:val="24"/>
        </w:rPr>
      </w:pPr>
    </w:p>
    <w:p w14:paraId="7BB511F2" w14:textId="36A62B88" w:rsidR="00FE4A3E" w:rsidRPr="00FE4A3E" w:rsidRDefault="00FE4A3E" w:rsidP="00C541EB">
      <w:pPr>
        <w:spacing w:line="360" w:lineRule="auto"/>
        <w:jc w:val="both"/>
        <w:rPr>
          <w:rFonts w:ascii="Verdana" w:hAnsi="Verdana"/>
          <w:sz w:val="24"/>
          <w:szCs w:val="24"/>
        </w:rPr>
      </w:pPr>
      <w:r w:rsidRPr="00FE4A3E">
        <w:rPr>
          <w:rFonts w:ascii="Verdana" w:hAnsi="Verdana"/>
          <w:b/>
          <w:bCs/>
          <w:sz w:val="24"/>
          <w:szCs w:val="24"/>
        </w:rPr>
        <w:t>ARTÍCULO 1° – OBJETO</w:t>
      </w:r>
      <w:r w:rsidR="00C541EB">
        <w:rPr>
          <w:rFonts w:ascii="Verdana" w:hAnsi="Verdana"/>
          <w:b/>
          <w:bCs/>
          <w:sz w:val="24"/>
          <w:szCs w:val="24"/>
        </w:rPr>
        <w:t xml:space="preserve">. </w:t>
      </w:r>
      <w:r w:rsidRPr="00FE4A3E">
        <w:rPr>
          <w:rFonts w:ascii="Verdana" w:hAnsi="Verdana"/>
          <w:sz w:val="24"/>
          <w:szCs w:val="24"/>
        </w:rPr>
        <w:t xml:space="preserve">El presente Concurso Privado tiene por objeto la contratación de la </w:t>
      </w:r>
      <w:r w:rsidRPr="00FE4A3E">
        <w:rPr>
          <w:rFonts w:ascii="Verdana" w:hAnsi="Verdana"/>
          <w:b/>
          <w:bCs/>
          <w:sz w:val="24"/>
          <w:szCs w:val="24"/>
        </w:rPr>
        <w:t>mano de obra</w:t>
      </w:r>
      <w:r w:rsidRPr="00FE4A3E">
        <w:rPr>
          <w:rFonts w:ascii="Verdana" w:hAnsi="Verdana"/>
          <w:sz w:val="24"/>
          <w:szCs w:val="24"/>
        </w:rPr>
        <w:t xml:space="preserve">, con provisión de herramientas, equipos menores, encofrados, dirección operativa de cuadrillas y todo aquello necesario para ejecutar la totalidad de los trabajos previstos en la documentación técnica correspondiente a la </w:t>
      </w:r>
      <w:r w:rsidRPr="00FE4A3E">
        <w:rPr>
          <w:rFonts w:ascii="Verdana" w:hAnsi="Verdana"/>
          <w:b/>
          <w:bCs/>
          <w:sz w:val="24"/>
          <w:szCs w:val="24"/>
        </w:rPr>
        <w:t>Primera Etapa de la Cisterna Barrio El Parador</w:t>
      </w:r>
      <w:r w:rsidRPr="00FE4A3E">
        <w:rPr>
          <w:rFonts w:ascii="Verdana" w:hAnsi="Verdana"/>
          <w:sz w:val="24"/>
          <w:szCs w:val="24"/>
        </w:rPr>
        <w:t>, conforme:</w:t>
      </w:r>
      <w:r w:rsidR="00C541EB">
        <w:rPr>
          <w:rFonts w:ascii="Verdana" w:hAnsi="Verdana"/>
          <w:sz w:val="24"/>
          <w:szCs w:val="24"/>
        </w:rPr>
        <w:t xml:space="preserve"> </w:t>
      </w:r>
      <w:r w:rsidRPr="00FE4A3E">
        <w:rPr>
          <w:rFonts w:ascii="Verdana" w:hAnsi="Verdana"/>
          <w:sz w:val="24"/>
          <w:szCs w:val="24"/>
        </w:rPr>
        <w:t>Memoria Descriptiva</w:t>
      </w:r>
      <w:r w:rsidR="00C541EB">
        <w:rPr>
          <w:rFonts w:ascii="Verdana" w:hAnsi="Verdana"/>
          <w:sz w:val="24"/>
          <w:szCs w:val="24"/>
        </w:rPr>
        <w:t xml:space="preserve">, </w:t>
      </w:r>
      <w:r w:rsidRPr="00FE4A3E">
        <w:rPr>
          <w:rFonts w:ascii="Verdana" w:hAnsi="Verdana"/>
          <w:sz w:val="24"/>
          <w:szCs w:val="24"/>
        </w:rPr>
        <w:t>Planos</w:t>
      </w:r>
      <w:r w:rsidR="00C541EB">
        <w:rPr>
          <w:rFonts w:ascii="Verdana" w:hAnsi="Verdana"/>
          <w:sz w:val="24"/>
          <w:szCs w:val="24"/>
        </w:rPr>
        <w:t xml:space="preserve">, </w:t>
      </w:r>
      <w:r w:rsidRPr="00FE4A3E">
        <w:rPr>
          <w:rFonts w:ascii="Verdana" w:hAnsi="Verdana"/>
          <w:sz w:val="24"/>
          <w:szCs w:val="24"/>
        </w:rPr>
        <w:t>Cómputo Métrico</w:t>
      </w:r>
      <w:r w:rsidR="00C541EB">
        <w:rPr>
          <w:rFonts w:ascii="Verdana" w:hAnsi="Verdana"/>
          <w:sz w:val="24"/>
          <w:szCs w:val="24"/>
        </w:rPr>
        <w:t xml:space="preserve">, </w:t>
      </w:r>
      <w:r w:rsidRPr="00FE4A3E">
        <w:rPr>
          <w:rFonts w:ascii="Verdana" w:hAnsi="Verdana"/>
          <w:sz w:val="24"/>
          <w:szCs w:val="24"/>
        </w:rPr>
        <w:t>Presupuesto Oficial</w:t>
      </w:r>
      <w:r w:rsidR="00C541EB">
        <w:rPr>
          <w:rFonts w:ascii="Verdana" w:hAnsi="Verdana"/>
          <w:sz w:val="24"/>
          <w:szCs w:val="24"/>
        </w:rPr>
        <w:t xml:space="preserve"> y </w:t>
      </w:r>
      <w:r w:rsidRPr="00FE4A3E">
        <w:rPr>
          <w:rFonts w:ascii="Verdana" w:hAnsi="Verdana"/>
          <w:sz w:val="24"/>
          <w:szCs w:val="24"/>
        </w:rPr>
        <w:t xml:space="preserve">Especificaciones Técnicas. </w:t>
      </w:r>
    </w:p>
    <w:p w14:paraId="6C7E7875"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 xml:space="preserve">Todos estos documentos forman parte integrante del presente Pliego. </w:t>
      </w:r>
    </w:p>
    <w:p w14:paraId="123EDED2" w14:textId="1275A2EB"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rPr>
        <w:t>ARTÍCULO 2° – NORMATIVA</w:t>
      </w:r>
      <w:r w:rsidR="00C541EB">
        <w:rPr>
          <w:rFonts w:ascii="Verdana" w:hAnsi="Verdana"/>
          <w:b/>
          <w:bCs/>
          <w:sz w:val="24"/>
          <w:szCs w:val="24"/>
        </w:rPr>
        <w:t xml:space="preserve">. </w:t>
      </w:r>
      <w:r w:rsidRPr="00FE4A3E">
        <w:rPr>
          <w:rFonts w:ascii="Verdana" w:hAnsi="Verdana"/>
          <w:sz w:val="24"/>
          <w:szCs w:val="24"/>
        </w:rPr>
        <w:t>La contratación se regirá por:</w:t>
      </w:r>
    </w:p>
    <w:p w14:paraId="10F6E673"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a) Decreto de llamado.</w:t>
      </w:r>
    </w:p>
    <w:p w14:paraId="6AF37A2E"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b) Ordenanza N° 1548/25.</w:t>
      </w:r>
    </w:p>
    <w:p w14:paraId="19A31D97"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c) Ordenanza N° 491/08.</w:t>
      </w:r>
    </w:p>
    <w:p w14:paraId="21B2EC78"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d) Ordenanza de Presupuesto vigente.</w:t>
      </w:r>
    </w:p>
    <w:p w14:paraId="68267D6D"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e) El presente Pliego.</w:t>
      </w:r>
    </w:p>
    <w:p w14:paraId="27A6A387"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f) Código Civil y Comercial de la Nación.</w:t>
      </w:r>
    </w:p>
    <w:p w14:paraId="3EDC3F38" w14:textId="4BC65BD5" w:rsidR="00FE4A3E" w:rsidRPr="00FE4A3E" w:rsidRDefault="00C541EB" w:rsidP="00FE4A3E">
      <w:pPr>
        <w:spacing w:line="360" w:lineRule="auto"/>
        <w:jc w:val="both"/>
        <w:rPr>
          <w:rFonts w:ascii="Verdana" w:hAnsi="Verdana"/>
          <w:sz w:val="24"/>
          <w:szCs w:val="24"/>
        </w:rPr>
      </w:pPr>
      <w:r>
        <w:rPr>
          <w:rFonts w:ascii="Verdana" w:hAnsi="Verdana"/>
          <w:sz w:val="24"/>
          <w:szCs w:val="24"/>
        </w:rPr>
        <w:t xml:space="preserve"> </w:t>
      </w:r>
    </w:p>
    <w:p w14:paraId="21A854C0" w14:textId="14D8DC9D"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rPr>
        <w:t>ARTÍCULO 3° – PRESUPUESTO OFICIAL</w:t>
      </w:r>
      <w:r w:rsidR="00C541EB">
        <w:rPr>
          <w:rFonts w:ascii="Verdana" w:hAnsi="Verdana"/>
          <w:b/>
          <w:bCs/>
          <w:sz w:val="24"/>
          <w:szCs w:val="24"/>
        </w:rPr>
        <w:t xml:space="preserve">. </w:t>
      </w:r>
      <w:r w:rsidRPr="00FE4A3E">
        <w:rPr>
          <w:rFonts w:ascii="Verdana" w:hAnsi="Verdana"/>
          <w:sz w:val="24"/>
          <w:szCs w:val="24"/>
        </w:rPr>
        <w:t>El presupuesto oficial asciende a</w:t>
      </w:r>
      <w:r w:rsidR="00C541EB">
        <w:rPr>
          <w:rFonts w:ascii="Verdana" w:hAnsi="Verdana"/>
          <w:sz w:val="24"/>
          <w:szCs w:val="24"/>
        </w:rPr>
        <w:t xml:space="preserve"> </w:t>
      </w:r>
      <w:r w:rsidRPr="00FE4A3E">
        <w:rPr>
          <w:rFonts w:ascii="Verdana" w:hAnsi="Verdana"/>
          <w:b/>
          <w:bCs/>
          <w:sz w:val="24"/>
          <w:szCs w:val="24"/>
        </w:rPr>
        <w:t xml:space="preserve">PESOS CIENTO ONCE MILLONES TRESCIENTOS SESENTA MIL </w:t>
      </w:r>
      <w:r w:rsidRPr="00FE4A3E">
        <w:rPr>
          <w:rFonts w:ascii="Verdana" w:hAnsi="Verdana"/>
          <w:b/>
          <w:bCs/>
          <w:sz w:val="24"/>
          <w:szCs w:val="24"/>
        </w:rPr>
        <w:lastRenderedPageBreak/>
        <w:t>NOVECIENTOS CINCUENTA Y CINCO CON 88/100 ($111.360.955,88).</w:t>
      </w:r>
      <w:r w:rsidRPr="00FE4A3E">
        <w:rPr>
          <w:rFonts w:ascii="Verdana" w:hAnsi="Verdana"/>
          <w:sz w:val="24"/>
          <w:szCs w:val="24"/>
        </w:rPr>
        <w:t xml:space="preserve"> </w:t>
      </w:r>
    </w:p>
    <w:p w14:paraId="00DB853B" w14:textId="41012156"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rPr>
        <w:t>ARTÍCULO 4° – PLAZO</w:t>
      </w:r>
      <w:r w:rsidR="00C541EB">
        <w:rPr>
          <w:rFonts w:ascii="Verdana" w:hAnsi="Verdana"/>
          <w:b/>
          <w:bCs/>
          <w:sz w:val="24"/>
          <w:szCs w:val="24"/>
        </w:rPr>
        <w:t xml:space="preserve">. </w:t>
      </w:r>
      <w:r w:rsidRPr="00FE4A3E">
        <w:rPr>
          <w:rFonts w:ascii="Verdana" w:hAnsi="Verdana"/>
          <w:sz w:val="24"/>
          <w:szCs w:val="24"/>
        </w:rPr>
        <w:t>El plazo total de ejecución será de</w:t>
      </w:r>
      <w:r w:rsidR="00C541EB">
        <w:rPr>
          <w:rFonts w:ascii="Verdana" w:hAnsi="Verdana"/>
          <w:sz w:val="24"/>
          <w:szCs w:val="24"/>
        </w:rPr>
        <w:t xml:space="preserve"> </w:t>
      </w:r>
      <w:r w:rsidRPr="00FE4A3E">
        <w:rPr>
          <w:rFonts w:ascii="Verdana" w:hAnsi="Verdana"/>
          <w:b/>
          <w:bCs/>
          <w:sz w:val="24"/>
          <w:szCs w:val="24"/>
        </w:rPr>
        <w:t>CIENTO VEINTE (120) días corridos</w:t>
      </w:r>
      <w:r w:rsidR="00C541EB">
        <w:rPr>
          <w:rFonts w:ascii="Verdana" w:hAnsi="Verdana"/>
          <w:b/>
          <w:bCs/>
          <w:sz w:val="24"/>
          <w:szCs w:val="24"/>
        </w:rPr>
        <w:t xml:space="preserve"> </w:t>
      </w:r>
      <w:r w:rsidRPr="00FE4A3E">
        <w:rPr>
          <w:rFonts w:ascii="Verdana" w:hAnsi="Verdana"/>
          <w:sz w:val="24"/>
          <w:szCs w:val="24"/>
        </w:rPr>
        <w:t>contados desde la firma del Acta de Inicio.</w:t>
      </w:r>
    </w:p>
    <w:p w14:paraId="0092D1D6"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El Municipio podrá otorgar prórrogas únicamente cuando existan causas debidamente justificadas.</w:t>
      </w:r>
    </w:p>
    <w:p w14:paraId="48059106" w14:textId="7349EFE0" w:rsidR="00FE4A3E" w:rsidRPr="00FE4A3E" w:rsidRDefault="00C541EB" w:rsidP="00FE4A3E">
      <w:pPr>
        <w:spacing w:line="360" w:lineRule="auto"/>
        <w:jc w:val="both"/>
        <w:rPr>
          <w:rFonts w:ascii="Verdana" w:hAnsi="Verdana"/>
          <w:sz w:val="24"/>
          <w:szCs w:val="24"/>
        </w:rPr>
      </w:pPr>
      <w:r>
        <w:rPr>
          <w:rFonts w:ascii="Verdana" w:hAnsi="Verdana"/>
          <w:sz w:val="24"/>
          <w:szCs w:val="24"/>
        </w:rPr>
        <w:t xml:space="preserve"> </w:t>
      </w:r>
      <w:r w:rsidR="00FE4A3E" w:rsidRPr="00FE4A3E">
        <w:rPr>
          <w:rFonts w:ascii="Verdana" w:hAnsi="Verdana"/>
          <w:b/>
          <w:bCs/>
          <w:sz w:val="24"/>
          <w:szCs w:val="24"/>
        </w:rPr>
        <w:t>ARTÍCULO 5° – VISITA A LA OBRA</w:t>
      </w:r>
      <w:r>
        <w:rPr>
          <w:rFonts w:ascii="Verdana" w:hAnsi="Verdana"/>
          <w:b/>
          <w:bCs/>
          <w:sz w:val="24"/>
          <w:szCs w:val="24"/>
        </w:rPr>
        <w:t xml:space="preserve">. </w:t>
      </w:r>
      <w:r w:rsidR="00FE4A3E" w:rsidRPr="00FE4A3E">
        <w:rPr>
          <w:rFonts w:ascii="Verdana" w:hAnsi="Verdana"/>
          <w:sz w:val="24"/>
          <w:szCs w:val="24"/>
        </w:rPr>
        <w:t>Los oferentes deberán inspeccionar previamente el lugar donde se ejecutará la obra.</w:t>
      </w:r>
    </w:p>
    <w:p w14:paraId="189975B7"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La presentación de la oferta implicará conocimiento pleno del terreno, condiciones de acceso, interferencias y características técnicas.</w:t>
      </w:r>
    </w:p>
    <w:p w14:paraId="52459B7C"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No se admitirán reclamos posteriores fundados en desconocimiento.</w:t>
      </w:r>
    </w:p>
    <w:p w14:paraId="0C74E996" w14:textId="5DA08CE4" w:rsidR="00FE4A3E" w:rsidRPr="00FE4A3E" w:rsidRDefault="00C541EB" w:rsidP="00FE4A3E">
      <w:pPr>
        <w:spacing w:line="360" w:lineRule="auto"/>
        <w:jc w:val="both"/>
        <w:rPr>
          <w:rFonts w:ascii="Verdana" w:hAnsi="Verdana"/>
          <w:sz w:val="24"/>
          <w:szCs w:val="24"/>
        </w:rPr>
      </w:pPr>
      <w:r>
        <w:rPr>
          <w:rFonts w:ascii="Verdana" w:hAnsi="Verdana"/>
          <w:sz w:val="24"/>
          <w:szCs w:val="24"/>
        </w:rPr>
        <w:t xml:space="preserve"> </w:t>
      </w:r>
      <w:r w:rsidR="00FE4A3E" w:rsidRPr="00FE4A3E">
        <w:rPr>
          <w:rFonts w:ascii="Verdana" w:hAnsi="Verdana"/>
          <w:b/>
          <w:bCs/>
          <w:sz w:val="24"/>
          <w:szCs w:val="24"/>
        </w:rPr>
        <w:t>ARTÍCULO 6° – DOCUMENTACIÓN A PRESENTAR</w:t>
      </w:r>
      <w:r>
        <w:rPr>
          <w:rFonts w:ascii="Verdana" w:hAnsi="Verdana"/>
          <w:b/>
          <w:bCs/>
          <w:sz w:val="24"/>
          <w:szCs w:val="24"/>
        </w:rPr>
        <w:t xml:space="preserve">. </w:t>
      </w:r>
      <w:r w:rsidR="00FE4A3E" w:rsidRPr="00FE4A3E">
        <w:rPr>
          <w:rFonts w:ascii="Verdana" w:hAnsi="Verdana"/>
          <w:sz w:val="24"/>
          <w:szCs w:val="24"/>
        </w:rPr>
        <w:t>Cada oferente deberá acompañar:</w:t>
      </w:r>
      <w:r w:rsidR="002E2491">
        <w:rPr>
          <w:rFonts w:ascii="Verdana" w:hAnsi="Verdana"/>
          <w:sz w:val="24"/>
          <w:szCs w:val="24"/>
        </w:rPr>
        <w:t xml:space="preserve"> </w:t>
      </w:r>
    </w:p>
    <w:p w14:paraId="7C31DFC7" w14:textId="77777777" w:rsidR="00FE4A3E" w:rsidRPr="00FE4A3E" w:rsidRDefault="00FE4A3E" w:rsidP="00FE4A3E">
      <w:pPr>
        <w:numPr>
          <w:ilvl w:val="0"/>
          <w:numId w:val="3"/>
        </w:numPr>
        <w:spacing w:line="360" w:lineRule="auto"/>
        <w:jc w:val="both"/>
        <w:rPr>
          <w:rFonts w:ascii="Verdana" w:hAnsi="Verdana"/>
          <w:sz w:val="24"/>
          <w:szCs w:val="24"/>
        </w:rPr>
      </w:pPr>
      <w:r w:rsidRPr="00FE4A3E">
        <w:rPr>
          <w:rFonts w:ascii="Verdana" w:hAnsi="Verdana"/>
          <w:sz w:val="24"/>
          <w:szCs w:val="24"/>
        </w:rPr>
        <w:t xml:space="preserve">Constancia AFIP. </w:t>
      </w:r>
    </w:p>
    <w:p w14:paraId="07999929" w14:textId="77777777" w:rsidR="00FE4A3E" w:rsidRPr="00FE4A3E" w:rsidRDefault="00FE4A3E" w:rsidP="00FE4A3E">
      <w:pPr>
        <w:numPr>
          <w:ilvl w:val="0"/>
          <w:numId w:val="3"/>
        </w:numPr>
        <w:spacing w:line="360" w:lineRule="auto"/>
        <w:jc w:val="both"/>
        <w:rPr>
          <w:rFonts w:ascii="Verdana" w:hAnsi="Verdana"/>
          <w:sz w:val="24"/>
          <w:szCs w:val="24"/>
        </w:rPr>
      </w:pPr>
      <w:r w:rsidRPr="00FE4A3E">
        <w:rPr>
          <w:rFonts w:ascii="Verdana" w:hAnsi="Verdana"/>
          <w:sz w:val="24"/>
          <w:szCs w:val="24"/>
        </w:rPr>
        <w:t xml:space="preserve">Constitución de domicilio físico y electrónico. </w:t>
      </w:r>
    </w:p>
    <w:p w14:paraId="2A9565CE" w14:textId="77777777" w:rsidR="00FE4A3E" w:rsidRPr="00FE4A3E" w:rsidRDefault="00FE4A3E" w:rsidP="00FE4A3E">
      <w:pPr>
        <w:numPr>
          <w:ilvl w:val="0"/>
          <w:numId w:val="3"/>
        </w:numPr>
        <w:spacing w:line="360" w:lineRule="auto"/>
        <w:jc w:val="both"/>
        <w:rPr>
          <w:rFonts w:ascii="Verdana" w:hAnsi="Verdana"/>
          <w:sz w:val="24"/>
          <w:szCs w:val="24"/>
        </w:rPr>
      </w:pPr>
      <w:r w:rsidRPr="00FE4A3E">
        <w:rPr>
          <w:rFonts w:ascii="Verdana" w:hAnsi="Verdana"/>
          <w:sz w:val="24"/>
          <w:szCs w:val="24"/>
        </w:rPr>
        <w:t xml:space="preserve">Designación del representante técnico. </w:t>
      </w:r>
    </w:p>
    <w:p w14:paraId="406F543F" w14:textId="77777777" w:rsidR="00FE4A3E" w:rsidRPr="00FE4A3E" w:rsidRDefault="00FE4A3E" w:rsidP="00FE4A3E">
      <w:pPr>
        <w:numPr>
          <w:ilvl w:val="0"/>
          <w:numId w:val="3"/>
        </w:numPr>
        <w:spacing w:line="360" w:lineRule="auto"/>
        <w:jc w:val="both"/>
        <w:rPr>
          <w:rFonts w:ascii="Verdana" w:hAnsi="Verdana"/>
          <w:sz w:val="24"/>
          <w:szCs w:val="24"/>
        </w:rPr>
      </w:pPr>
      <w:r w:rsidRPr="00FE4A3E">
        <w:rPr>
          <w:rFonts w:ascii="Verdana" w:hAnsi="Verdana"/>
          <w:sz w:val="24"/>
          <w:szCs w:val="24"/>
        </w:rPr>
        <w:t xml:space="preserve">Nómina del personal. </w:t>
      </w:r>
    </w:p>
    <w:p w14:paraId="09FFC883" w14:textId="77777777" w:rsidR="00FE4A3E" w:rsidRPr="00FE4A3E" w:rsidRDefault="00FE4A3E" w:rsidP="00FE4A3E">
      <w:pPr>
        <w:numPr>
          <w:ilvl w:val="0"/>
          <w:numId w:val="3"/>
        </w:numPr>
        <w:spacing w:line="360" w:lineRule="auto"/>
        <w:jc w:val="both"/>
        <w:rPr>
          <w:rFonts w:ascii="Verdana" w:hAnsi="Verdana"/>
          <w:sz w:val="24"/>
          <w:szCs w:val="24"/>
        </w:rPr>
      </w:pPr>
      <w:r w:rsidRPr="00FE4A3E">
        <w:rPr>
          <w:rFonts w:ascii="Verdana" w:hAnsi="Verdana"/>
          <w:sz w:val="24"/>
          <w:szCs w:val="24"/>
        </w:rPr>
        <w:t xml:space="preserve">Antecedentes de obras similares. </w:t>
      </w:r>
    </w:p>
    <w:p w14:paraId="34BBF1FA" w14:textId="77777777" w:rsidR="00FE4A3E" w:rsidRPr="00FE4A3E" w:rsidRDefault="00FE4A3E" w:rsidP="00FE4A3E">
      <w:pPr>
        <w:numPr>
          <w:ilvl w:val="0"/>
          <w:numId w:val="3"/>
        </w:numPr>
        <w:spacing w:line="360" w:lineRule="auto"/>
        <w:jc w:val="both"/>
        <w:rPr>
          <w:rFonts w:ascii="Verdana" w:hAnsi="Verdana"/>
          <w:sz w:val="24"/>
          <w:szCs w:val="24"/>
        </w:rPr>
      </w:pPr>
      <w:r w:rsidRPr="00FE4A3E">
        <w:rPr>
          <w:rFonts w:ascii="Verdana" w:hAnsi="Verdana"/>
          <w:sz w:val="24"/>
          <w:szCs w:val="24"/>
        </w:rPr>
        <w:t xml:space="preserve">Equipamiento disponible. </w:t>
      </w:r>
    </w:p>
    <w:p w14:paraId="293ED9FD" w14:textId="77777777" w:rsidR="00FE4A3E" w:rsidRPr="00FE4A3E" w:rsidRDefault="00FE4A3E" w:rsidP="00FE4A3E">
      <w:pPr>
        <w:numPr>
          <w:ilvl w:val="0"/>
          <w:numId w:val="3"/>
        </w:numPr>
        <w:spacing w:line="360" w:lineRule="auto"/>
        <w:jc w:val="both"/>
        <w:rPr>
          <w:rFonts w:ascii="Verdana" w:hAnsi="Verdana"/>
          <w:sz w:val="24"/>
          <w:szCs w:val="24"/>
        </w:rPr>
      </w:pPr>
      <w:r w:rsidRPr="00FE4A3E">
        <w:rPr>
          <w:rFonts w:ascii="Verdana" w:hAnsi="Verdana"/>
          <w:sz w:val="24"/>
          <w:szCs w:val="24"/>
        </w:rPr>
        <w:t xml:space="preserve">Propuesta económica. </w:t>
      </w:r>
    </w:p>
    <w:p w14:paraId="6B3D9467" w14:textId="77777777" w:rsidR="00FE4A3E" w:rsidRPr="00FE4A3E" w:rsidRDefault="00FE4A3E" w:rsidP="00FE4A3E">
      <w:pPr>
        <w:numPr>
          <w:ilvl w:val="0"/>
          <w:numId w:val="3"/>
        </w:numPr>
        <w:spacing w:line="360" w:lineRule="auto"/>
        <w:jc w:val="both"/>
        <w:rPr>
          <w:rFonts w:ascii="Verdana" w:hAnsi="Verdana"/>
          <w:sz w:val="24"/>
          <w:szCs w:val="24"/>
        </w:rPr>
      </w:pPr>
      <w:r w:rsidRPr="00FE4A3E">
        <w:rPr>
          <w:rFonts w:ascii="Verdana" w:hAnsi="Verdana"/>
          <w:sz w:val="24"/>
          <w:szCs w:val="24"/>
        </w:rPr>
        <w:t xml:space="preserve">Cronograma de trabajos. </w:t>
      </w:r>
    </w:p>
    <w:p w14:paraId="347316EC" w14:textId="77777777" w:rsidR="00FE4A3E" w:rsidRPr="00FE4A3E" w:rsidRDefault="00FE4A3E" w:rsidP="00FE4A3E">
      <w:pPr>
        <w:numPr>
          <w:ilvl w:val="0"/>
          <w:numId w:val="3"/>
        </w:numPr>
        <w:spacing w:line="360" w:lineRule="auto"/>
        <w:jc w:val="both"/>
        <w:rPr>
          <w:rFonts w:ascii="Verdana" w:hAnsi="Verdana"/>
          <w:sz w:val="24"/>
          <w:szCs w:val="24"/>
        </w:rPr>
      </w:pPr>
      <w:r w:rsidRPr="00FE4A3E">
        <w:rPr>
          <w:rFonts w:ascii="Verdana" w:hAnsi="Verdana"/>
          <w:sz w:val="24"/>
          <w:szCs w:val="24"/>
        </w:rPr>
        <w:t xml:space="preserve">Plan de Seguridad e Higiene. </w:t>
      </w:r>
    </w:p>
    <w:p w14:paraId="0CE4362F" w14:textId="297737B3" w:rsidR="00FE4A3E" w:rsidRPr="00FE4A3E" w:rsidRDefault="00C541EB" w:rsidP="00FE4A3E">
      <w:pPr>
        <w:spacing w:line="360" w:lineRule="auto"/>
        <w:jc w:val="both"/>
        <w:rPr>
          <w:rFonts w:ascii="Verdana" w:hAnsi="Verdana"/>
          <w:sz w:val="24"/>
          <w:szCs w:val="24"/>
        </w:rPr>
      </w:pPr>
      <w:r>
        <w:rPr>
          <w:rFonts w:ascii="Verdana" w:hAnsi="Verdana"/>
          <w:sz w:val="24"/>
          <w:szCs w:val="24"/>
        </w:rPr>
        <w:lastRenderedPageBreak/>
        <w:t xml:space="preserve"> </w:t>
      </w:r>
      <w:r w:rsidR="00FE4A3E" w:rsidRPr="00FE4A3E">
        <w:rPr>
          <w:rFonts w:ascii="Verdana" w:hAnsi="Verdana"/>
          <w:b/>
          <w:bCs/>
          <w:sz w:val="24"/>
          <w:szCs w:val="24"/>
        </w:rPr>
        <w:t>ARTÍCULO 7° – GARANTÍA DE OFERTA</w:t>
      </w:r>
      <w:r>
        <w:rPr>
          <w:rFonts w:ascii="Verdana" w:hAnsi="Verdana"/>
          <w:b/>
          <w:bCs/>
          <w:sz w:val="24"/>
          <w:szCs w:val="24"/>
        </w:rPr>
        <w:t xml:space="preserve">. </w:t>
      </w:r>
      <w:r w:rsidR="00FE4A3E" w:rsidRPr="00FE4A3E">
        <w:rPr>
          <w:rFonts w:ascii="Verdana" w:hAnsi="Verdana"/>
          <w:sz w:val="24"/>
          <w:szCs w:val="24"/>
        </w:rPr>
        <w:t>Los oferentes deberán constituir una garantía equivalente al</w:t>
      </w:r>
      <w:r>
        <w:rPr>
          <w:rFonts w:ascii="Verdana" w:hAnsi="Verdana"/>
          <w:sz w:val="24"/>
          <w:szCs w:val="24"/>
        </w:rPr>
        <w:t xml:space="preserve"> </w:t>
      </w:r>
      <w:r w:rsidR="00FE4A3E" w:rsidRPr="00FE4A3E">
        <w:rPr>
          <w:rFonts w:ascii="Verdana" w:hAnsi="Verdana"/>
          <w:b/>
          <w:bCs/>
          <w:sz w:val="24"/>
          <w:szCs w:val="24"/>
        </w:rPr>
        <w:t>DOS POR CIENTO (2%)</w:t>
      </w:r>
    </w:p>
    <w:p w14:paraId="63793AB3" w14:textId="3F2F3F80" w:rsidR="00FE4A3E" w:rsidRPr="00FE4A3E" w:rsidRDefault="00FE4A3E" w:rsidP="00C541EB">
      <w:pPr>
        <w:tabs>
          <w:tab w:val="num" w:pos="720"/>
        </w:tabs>
        <w:spacing w:line="360" w:lineRule="auto"/>
        <w:jc w:val="both"/>
        <w:rPr>
          <w:rFonts w:ascii="Verdana" w:hAnsi="Verdana"/>
          <w:sz w:val="24"/>
          <w:szCs w:val="24"/>
        </w:rPr>
      </w:pPr>
      <w:r w:rsidRPr="00FE4A3E">
        <w:rPr>
          <w:rFonts w:ascii="Verdana" w:hAnsi="Verdana"/>
          <w:sz w:val="24"/>
          <w:szCs w:val="24"/>
        </w:rPr>
        <w:t>del monto ofertado.</w:t>
      </w:r>
      <w:r w:rsidR="00C541EB">
        <w:rPr>
          <w:rFonts w:ascii="Verdana" w:hAnsi="Verdana"/>
          <w:sz w:val="24"/>
          <w:szCs w:val="24"/>
        </w:rPr>
        <w:t xml:space="preserve"> </w:t>
      </w:r>
      <w:r w:rsidRPr="00FE4A3E">
        <w:rPr>
          <w:rFonts w:ascii="Verdana" w:hAnsi="Verdana"/>
          <w:sz w:val="24"/>
          <w:szCs w:val="24"/>
        </w:rPr>
        <w:t>Podrá constituirse mediante:</w:t>
      </w:r>
      <w:r w:rsidR="00C541EB">
        <w:rPr>
          <w:rFonts w:ascii="Verdana" w:hAnsi="Verdana"/>
          <w:sz w:val="24"/>
          <w:szCs w:val="24"/>
        </w:rPr>
        <w:t xml:space="preserve"> </w:t>
      </w:r>
      <w:r w:rsidRPr="00FE4A3E">
        <w:rPr>
          <w:rFonts w:ascii="Verdana" w:hAnsi="Verdana"/>
          <w:sz w:val="24"/>
          <w:szCs w:val="24"/>
        </w:rPr>
        <w:t>efectivo;</w:t>
      </w:r>
      <w:r w:rsidR="00C541EB">
        <w:rPr>
          <w:rFonts w:ascii="Verdana" w:hAnsi="Verdana"/>
          <w:sz w:val="24"/>
          <w:szCs w:val="24"/>
        </w:rPr>
        <w:t xml:space="preserve"> </w:t>
      </w:r>
      <w:r w:rsidRPr="00FE4A3E">
        <w:rPr>
          <w:rFonts w:ascii="Verdana" w:hAnsi="Verdana"/>
          <w:sz w:val="24"/>
          <w:szCs w:val="24"/>
        </w:rPr>
        <w:t xml:space="preserve">seguro de caución; aval bancario </w:t>
      </w:r>
      <w:r w:rsidR="00C541EB">
        <w:rPr>
          <w:rFonts w:ascii="Verdana" w:hAnsi="Verdana"/>
          <w:sz w:val="24"/>
          <w:szCs w:val="24"/>
        </w:rPr>
        <w:t xml:space="preserve">o </w:t>
      </w:r>
      <w:r w:rsidRPr="00FE4A3E">
        <w:rPr>
          <w:rFonts w:ascii="Verdana" w:hAnsi="Verdana"/>
          <w:sz w:val="24"/>
          <w:szCs w:val="24"/>
        </w:rPr>
        <w:t xml:space="preserve">pagaré con cláusula sin protesto, a satisfacción del Municipio. </w:t>
      </w:r>
    </w:p>
    <w:p w14:paraId="3CCDBDD1"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 xml:space="preserve">La garantía será devuelta conforme lo establece el Régimen de Contrataciones. </w:t>
      </w:r>
    </w:p>
    <w:p w14:paraId="634D07D6" w14:textId="5412FA0C" w:rsidR="00FE4A3E" w:rsidRPr="00FE4A3E" w:rsidRDefault="00C541EB" w:rsidP="00FE4A3E">
      <w:pPr>
        <w:spacing w:line="360" w:lineRule="auto"/>
        <w:jc w:val="both"/>
        <w:rPr>
          <w:rFonts w:ascii="Verdana" w:hAnsi="Verdana"/>
          <w:sz w:val="24"/>
          <w:szCs w:val="24"/>
        </w:rPr>
      </w:pPr>
      <w:r>
        <w:rPr>
          <w:rFonts w:ascii="Verdana" w:hAnsi="Verdana"/>
          <w:sz w:val="24"/>
          <w:szCs w:val="24"/>
        </w:rPr>
        <w:t xml:space="preserve"> </w:t>
      </w:r>
      <w:r w:rsidR="00FE4A3E" w:rsidRPr="00FE4A3E">
        <w:rPr>
          <w:rFonts w:ascii="Verdana" w:hAnsi="Verdana"/>
          <w:b/>
          <w:bCs/>
          <w:sz w:val="24"/>
          <w:szCs w:val="24"/>
        </w:rPr>
        <w:t>ARTÍCULO 8° – GARANTÍA DE ADJUDICACIÓN</w:t>
      </w:r>
      <w:r>
        <w:rPr>
          <w:rFonts w:ascii="Verdana" w:hAnsi="Verdana"/>
          <w:b/>
          <w:bCs/>
          <w:sz w:val="24"/>
          <w:szCs w:val="24"/>
        </w:rPr>
        <w:t xml:space="preserve">. </w:t>
      </w:r>
      <w:r w:rsidR="00FE4A3E" w:rsidRPr="00FE4A3E">
        <w:rPr>
          <w:rFonts w:ascii="Verdana" w:hAnsi="Verdana"/>
          <w:sz w:val="24"/>
          <w:szCs w:val="24"/>
        </w:rPr>
        <w:t>El adjudicatario constituirá una garantía equivalente al</w:t>
      </w:r>
      <w:r>
        <w:rPr>
          <w:rFonts w:ascii="Verdana" w:hAnsi="Verdana"/>
          <w:sz w:val="24"/>
          <w:szCs w:val="24"/>
        </w:rPr>
        <w:t xml:space="preserve"> </w:t>
      </w:r>
      <w:r w:rsidR="00FE4A3E" w:rsidRPr="00FE4A3E">
        <w:rPr>
          <w:rFonts w:ascii="Verdana" w:hAnsi="Verdana"/>
          <w:b/>
          <w:bCs/>
          <w:sz w:val="24"/>
          <w:szCs w:val="24"/>
        </w:rPr>
        <w:t>DIEZ POR CIENTO (10%)</w:t>
      </w:r>
      <w:r>
        <w:rPr>
          <w:rFonts w:ascii="Verdana" w:hAnsi="Verdana"/>
          <w:b/>
          <w:bCs/>
          <w:sz w:val="24"/>
          <w:szCs w:val="24"/>
        </w:rPr>
        <w:t xml:space="preserve"> </w:t>
      </w:r>
      <w:r w:rsidR="00FE4A3E" w:rsidRPr="00FE4A3E">
        <w:rPr>
          <w:rFonts w:ascii="Verdana" w:hAnsi="Verdana"/>
          <w:sz w:val="24"/>
          <w:szCs w:val="24"/>
        </w:rPr>
        <w:t xml:space="preserve">del monto adjudicado dentro de los tres (3) días de notificada la adjudicación. </w:t>
      </w:r>
    </w:p>
    <w:p w14:paraId="2C948CE0" w14:textId="6B270C62" w:rsidR="00FE4A3E" w:rsidRPr="00FE4A3E" w:rsidRDefault="00C541EB" w:rsidP="00FE4A3E">
      <w:pPr>
        <w:spacing w:line="360" w:lineRule="auto"/>
        <w:jc w:val="both"/>
        <w:rPr>
          <w:rFonts w:ascii="Verdana" w:hAnsi="Verdana"/>
          <w:sz w:val="24"/>
          <w:szCs w:val="24"/>
        </w:rPr>
      </w:pPr>
      <w:r>
        <w:rPr>
          <w:rFonts w:ascii="Verdana" w:hAnsi="Verdana"/>
          <w:sz w:val="24"/>
          <w:szCs w:val="24"/>
        </w:rPr>
        <w:t xml:space="preserve"> </w:t>
      </w:r>
      <w:r w:rsidR="00FE4A3E" w:rsidRPr="00FE4A3E">
        <w:rPr>
          <w:rFonts w:ascii="Verdana" w:hAnsi="Verdana"/>
          <w:b/>
          <w:bCs/>
          <w:sz w:val="24"/>
          <w:szCs w:val="24"/>
        </w:rPr>
        <w:t>ARTÍCULO 9° – PRESENTACIÓN DE OFERTAS</w:t>
      </w:r>
      <w:r>
        <w:rPr>
          <w:rFonts w:ascii="Verdana" w:hAnsi="Verdana"/>
          <w:b/>
          <w:bCs/>
          <w:sz w:val="24"/>
          <w:szCs w:val="24"/>
        </w:rPr>
        <w:t xml:space="preserve">. </w:t>
      </w:r>
      <w:r w:rsidR="00FE4A3E" w:rsidRPr="00FE4A3E">
        <w:rPr>
          <w:rFonts w:ascii="Verdana" w:hAnsi="Verdana"/>
          <w:sz w:val="24"/>
          <w:szCs w:val="24"/>
        </w:rPr>
        <w:t>Las propuestas deberán presentarse en sobre cerrado indicando únicamente:</w:t>
      </w:r>
    </w:p>
    <w:p w14:paraId="59ED286B" w14:textId="5DA70433"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rPr>
        <w:t>"CONCURSO PRIVADO DE PRECIOS – MANO DE OBRA CISTERNA BARRIO EL PARADOR".</w:t>
      </w:r>
    </w:p>
    <w:p w14:paraId="7A346FCD"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No se admitirán ofertas fuera de término.</w:t>
      </w:r>
    </w:p>
    <w:p w14:paraId="08DE8EB0" w14:textId="453681A6" w:rsidR="00FE4A3E" w:rsidRPr="00FE4A3E" w:rsidRDefault="00C541EB" w:rsidP="00FE4A3E">
      <w:pPr>
        <w:spacing w:line="360" w:lineRule="auto"/>
        <w:jc w:val="both"/>
        <w:rPr>
          <w:rFonts w:ascii="Verdana" w:hAnsi="Verdana"/>
          <w:sz w:val="24"/>
          <w:szCs w:val="24"/>
        </w:rPr>
      </w:pPr>
      <w:r>
        <w:rPr>
          <w:rFonts w:ascii="Verdana" w:hAnsi="Verdana"/>
          <w:sz w:val="24"/>
          <w:szCs w:val="24"/>
        </w:rPr>
        <w:t xml:space="preserve"> </w:t>
      </w:r>
      <w:r w:rsidR="00FE4A3E" w:rsidRPr="00FE4A3E">
        <w:rPr>
          <w:rFonts w:ascii="Verdana" w:hAnsi="Verdana"/>
          <w:b/>
          <w:bCs/>
          <w:sz w:val="24"/>
          <w:szCs w:val="24"/>
        </w:rPr>
        <w:t>ARTÍCULO 10° – APERTURA</w:t>
      </w:r>
      <w:r>
        <w:rPr>
          <w:rFonts w:ascii="Verdana" w:hAnsi="Verdana"/>
          <w:b/>
          <w:bCs/>
          <w:sz w:val="24"/>
          <w:szCs w:val="24"/>
        </w:rPr>
        <w:t xml:space="preserve">. </w:t>
      </w:r>
      <w:r w:rsidR="00FE4A3E" w:rsidRPr="00FE4A3E">
        <w:rPr>
          <w:rFonts w:ascii="Verdana" w:hAnsi="Verdana"/>
          <w:sz w:val="24"/>
          <w:szCs w:val="24"/>
        </w:rPr>
        <w:t xml:space="preserve">La apertura tendrá lugar el </w:t>
      </w:r>
      <w:r w:rsidR="00FE4A3E" w:rsidRPr="00F14D6F">
        <w:rPr>
          <w:rFonts w:ascii="Verdana" w:hAnsi="Verdana"/>
          <w:sz w:val="24"/>
          <w:szCs w:val="24"/>
        </w:rPr>
        <w:t xml:space="preserve">día </w:t>
      </w:r>
      <w:r w:rsidR="00F14D6F" w:rsidRPr="00F14D6F">
        <w:rPr>
          <w:rFonts w:ascii="Verdana" w:hAnsi="Verdana"/>
          <w:sz w:val="24"/>
          <w:szCs w:val="24"/>
        </w:rPr>
        <w:t>24</w:t>
      </w:r>
      <w:r w:rsidR="00FE4A3E" w:rsidRPr="00F14D6F">
        <w:rPr>
          <w:rFonts w:ascii="Verdana" w:hAnsi="Verdana"/>
          <w:sz w:val="24"/>
          <w:szCs w:val="24"/>
        </w:rPr>
        <w:t xml:space="preserve"> de </w:t>
      </w:r>
      <w:proofErr w:type="gramStart"/>
      <w:r w:rsidRPr="00F14D6F">
        <w:rPr>
          <w:rFonts w:ascii="Verdana" w:hAnsi="Verdana"/>
          <w:sz w:val="24"/>
          <w:szCs w:val="24"/>
        </w:rPr>
        <w:t>Agosto</w:t>
      </w:r>
      <w:proofErr w:type="gramEnd"/>
      <w:r w:rsidRPr="00F14D6F">
        <w:rPr>
          <w:rFonts w:ascii="Verdana" w:hAnsi="Verdana"/>
          <w:sz w:val="24"/>
          <w:szCs w:val="24"/>
        </w:rPr>
        <w:t xml:space="preserve"> </w:t>
      </w:r>
      <w:r w:rsidR="00FE4A3E" w:rsidRPr="00F14D6F">
        <w:rPr>
          <w:rFonts w:ascii="Verdana" w:hAnsi="Verdana"/>
          <w:sz w:val="24"/>
          <w:szCs w:val="24"/>
        </w:rPr>
        <w:t xml:space="preserve">de 2026 a las </w:t>
      </w:r>
      <w:r w:rsidR="00F14D6F" w:rsidRPr="00F14D6F">
        <w:rPr>
          <w:rFonts w:ascii="Verdana" w:hAnsi="Verdana"/>
          <w:sz w:val="24"/>
          <w:szCs w:val="24"/>
        </w:rPr>
        <w:t>9</w:t>
      </w:r>
      <w:r w:rsidR="003E2E62">
        <w:rPr>
          <w:rFonts w:ascii="Verdana" w:hAnsi="Verdana"/>
          <w:sz w:val="24"/>
          <w:szCs w:val="24"/>
        </w:rPr>
        <w:t>:45</w:t>
      </w:r>
      <w:r w:rsidR="00F14D6F" w:rsidRPr="00F14D6F">
        <w:rPr>
          <w:rFonts w:ascii="Verdana" w:hAnsi="Verdana"/>
          <w:sz w:val="24"/>
          <w:szCs w:val="24"/>
        </w:rPr>
        <w:t xml:space="preserve"> </w:t>
      </w:r>
      <w:r w:rsidR="00FE4A3E" w:rsidRPr="00F14D6F">
        <w:rPr>
          <w:rFonts w:ascii="Verdana" w:hAnsi="Verdana"/>
          <w:sz w:val="24"/>
          <w:szCs w:val="24"/>
        </w:rPr>
        <w:t xml:space="preserve">horas </w:t>
      </w:r>
      <w:r w:rsidR="00FE4A3E" w:rsidRPr="00FE4A3E">
        <w:rPr>
          <w:rFonts w:ascii="Verdana" w:hAnsi="Verdana"/>
          <w:sz w:val="24"/>
          <w:szCs w:val="24"/>
        </w:rPr>
        <w:t>en la Municipalidad de Tanti.</w:t>
      </w:r>
    </w:p>
    <w:p w14:paraId="5D14B04E"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Podrán asistir los oferentes o sus representantes.</w:t>
      </w:r>
    </w:p>
    <w:p w14:paraId="38F9196C" w14:textId="02C8C480" w:rsidR="00FE4A3E" w:rsidRPr="00FE4A3E" w:rsidRDefault="00C541EB" w:rsidP="00FE4A3E">
      <w:pPr>
        <w:spacing w:line="360" w:lineRule="auto"/>
        <w:jc w:val="both"/>
        <w:rPr>
          <w:rFonts w:ascii="Verdana" w:hAnsi="Verdana"/>
          <w:sz w:val="24"/>
          <w:szCs w:val="24"/>
        </w:rPr>
      </w:pPr>
      <w:r>
        <w:rPr>
          <w:rFonts w:ascii="Verdana" w:hAnsi="Verdana"/>
          <w:sz w:val="24"/>
          <w:szCs w:val="24"/>
        </w:rPr>
        <w:t xml:space="preserve"> </w:t>
      </w:r>
      <w:r w:rsidR="00FE4A3E" w:rsidRPr="00FE4A3E">
        <w:rPr>
          <w:rFonts w:ascii="Verdana" w:hAnsi="Verdana"/>
          <w:b/>
          <w:bCs/>
          <w:sz w:val="24"/>
          <w:szCs w:val="24"/>
        </w:rPr>
        <w:t>ARTÍCULO 11° – MANTENIMIENTO DE OFERTA</w:t>
      </w:r>
      <w:r>
        <w:rPr>
          <w:rFonts w:ascii="Verdana" w:hAnsi="Verdana"/>
          <w:b/>
          <w:bCs/>
          <w:sz w:val="24"/>
          <w:szCs w:val="24"/>
        </w:rPr>
        <w:t xml:space="preserve">. </w:t>
      </w:r>
      <w:r w:rsidR="00FE4A3E" w:rsidRPr="00FE4A3E">
        <w:rPr>
          <w:rFonts w:ascii="Verdana" w:hAnsi="Verdana"/>
          <w:sz w:val="24"/>
          <w:szCs w:val="24"/>
        </w:rPr>
        <w:t>Las propuestas deberán mantenerse por</w:t>
      </w:r>
      <w:r>
        <w:rPr>
          <w:rFonts w:ascii="Verdana" w:hAnsi="Verdana"/>
          <w:sz w:val="24"/>
          <w:szCs w:val="24"/>
        </w:rPr>
        <w:t xml:space="preserve"> </w:t>
      </w:r>
      <w:r w:rsidR="00FE4A3E" w:rsidRPr="00FE4A3E">
        <w:rPr>
          <w:rFonts w:ascii="Verdana" w:hAnsi="Verdana"/>
          <w:b/>
          <w:bCs/>
          <w:sz w:val="24"/>
          <w:szCs w:val="24"/>
        </w:rPr>
        <w:t>TREINTA (30) días corridos</w:t>
      </w:r>
      <w:r>
        <w:rPr>
          <w:rFonts w:ascii="Verdana" w:hAnsi="Verdana"/>
          <w:b/>
          <w:bCs/>
          <w:sz w:val="24"/>
          <w:szCs w:val="24"/>
        </w:rPr>
        <w:t xml:space="preserve"> </w:t>
      </w:r>
      <w:r w:rsidR="00FE4A3E" w:rsidRPr="00FE4A3E">
        <w:rPr>
          <w:rFonts w:ascii="Verdana" w:hAnsi="Verdana"/>
          <w:sz w:val="24"/>
          <w:szCs w:val="24"/>
        </w:rPr>
        <w:t>desde la apertura.</w:t>
      </w:r>
    </w:p>
    <w:p w14:paraId="67008F3B" w14:textId="76CBC81C" w:rsidR="00FE4A3E" w:rsidRPr="00FE4A3E" w:rsidRDefault="00C541EB" w:rsidP="00F14D6F">
      <w:pPr>
        <w:spacing w:line="360" w:lineRule="auto"/>
        <w:jc w:val="both"/>
        <w:rPr>
          <w:rFonts w:ascii="Verdana" w:hAnsi="Verdana"/>
          <w:sz w:val="24"/>
          <w:szCs w:val="24"/>
        </w:rPr>
      </w:pPr>
      <w:r>
        <w:rPr>
          <w:rFonts w:ascii="Verdana" w:hAnsi="Verdana"/>
          <w:sz w:val="24"/>
          <w:szCs w:val="24"/>
        </w:rPr>
        <w:t xml:space="preserve"> </w:t>
      </w:r>
      <w:r w:rsidR="00FE4A3E" w:rsidRPr="00FE4A3E">
        <w:rPr>
          <w:rFonts w:ascii="Verdana" w:hAnsi="Verdana"/>
          <w:b/>
          <w:bCs/>
          <w:sz w:val="24"/>
          <w:szCs w:val="24"/>
        </w:rPr>
        <w:t>ARTÍCULO 12° – FORMA DE COTIZACIÓN</w:t>
      </w:r>
      <w:r>
        <w:rPr>
          <w:rFonts w:ascii="Verdana" w:hAnsi="Verdana"/>
          <w:b/>
          <w:bCs/>
          <w:sz w:val="24"/>
          <w:szCs w:val="24"/>
        </w:rPr>
        <w:t xml:space="preserve">. </w:t>
      </w:r>
      <w:r w:rsidR="00FE4A3E" w:rsidRPr="00FE4A3E">
        <w:rPr>
          <w:rFonts w:ascii="Verdana" w:hAnsi="Verdana"/>
          <w:sz w:val="24"/>
          <w:szCs w:val="24"/>
        </w:rPr>
        <w:t>La oferta deberá expresarse:</w:t>
      </w:r>
      <w:r>
        <w:rPr>
          <w:rFonts w:ascii="Verdana" w:hAnsi="Verdana"/>
          <w:sz w:val="24"/>
          <w:szCs w:val="24"/>
        </w:rPr>
        <w:t xml:space="preserve"> </w:t>
      </w:r>
      <w:r w:rsidR="00FE4A3E" w:rsidRPr="00FE4A3E">
        <w:rPr>
          <w:rFonts w:ascii="Verdana" w:hAnsi="Verdana"/>
          <w:sz w:val="24"/>
          <w:szCs w:val="24"/>
        </w:rPr>
        <w:t>en pesos; IVA incluido;</w:t>
      </w:r>
      <w:r>
        <w:rPr>
          <w:rFonts w:ascii="Verdana" w:hAnsi="Verdana"/>
          <w:sz w:val="24"/>
          <w:szCs w:val="24"/>
        </w:rPr>
        <w:t xml:space="preserve"> </w:t>
      </w:r>
      <w:r w:rsidR="00FE4A3E" w:rsidRPr="00FE4A3E">
        <w:rPr>
          <w:rFonts w:ascii="Verdana" w:hAnsi="Verdana"/>
          <w:sz w:val="24"/>
          <w:szCs w:val="24"/>
        </w:rPr>
        <w:t xml:space="preserve">indicando monto total; discriminando impuestos cuando corresponda. </w:t>
      </w:r>
    </w:p>
    <w:p w14:paraId="51926E01" w14:textId="1B8B00F9" w:rsidR="00FE4A3E" w:rsidRPr="00FE4A3E" w:rsidRDefault="00FE4A3E" w:rsidP="00C541EB">
      <w:pPr>
        <w:tabs>
          <w:tab w:val="num" w:pos="720"/>
        </w:tabs>
        <w:spacing w:line="360" w:lineRule="auto"/>
        <w:jc w:val="both"/>
        <w:rPr>
          <w:rFonts w:ascii="Verdana" w:hAnsi="Verdana"/>
          <w:sz w:val="24"/>
          <w:szCs w:val="24"/>
        </w:rPr>
      </w:pPr>
      <w:r w:rsidRPr="00FE4A3E">
        <w:rPr>
          <w:rFonts w:ascii="Verdana" w:hAnsi="Verdana"/>
          <w:sz w:val="24"/>
          <w:szCs w:val="24"/>
        </w:rPr>
        <w:lastRenderedPageBreak/>
        <w:t>Se entenderán incluidos todos los costos:</w:t>
      </w:r>
      <w:r w:rsidR="00C541EB">
        <w:rPr>
          <w:rFonts w:ascii="Verdana" w:hAnsi="Verdana"/>
          <w:sz w:val="24"/>
          <w:szCs w:val="24"/>
        </w:rPr>
        <w:t xml:space="preserve"> </w:t>
      </w:r>
      <w:r w:rsidRPr="00FE4A3E">
        <w:rPr>
          <w:rFonts w:ascii="Verdana" w:hAnsi="Verdana"/>
          <w:sz w:val="24"/>
          <w:szCs w:val="24"/>
        </w:rPr>
        <w:t>personal</w:t>
      </w:r>
      <w:r w:rsidR="00C541EB">
        <w:rPr>
          <w:rFonts w:ascii="Verdana" w:hAnsi="Verdana"/>
          <w:sz w:val="24"/>
          <w:szCs w:val="24"/>
        </w:rPr>
        <w:t xml:space="preserve">, </w:t>
      </w:r>
      <w:r w:rsidRPr="00FE4A3E">
        <w:rPr>
          <w:rFonts w:ascii="Verdana" w:hAnsi="Verdana"/>
          <w:sz w:val="24"/>
          <w:szCs w:val="24"/>
        </w:rPr>
        <w:t>cargas sociales</w:t>
      </w:r>
      <w:r w:rsidR="00C541EB">
        <w:rPr>
          <w:rFonts w:ascii="Verdana" w:hAnsi="Verdana"/>
          <w:sz w:val="24"/>
          <w:szCs w:val="24"/>
        </w:rPr>
        <w:t xml:space="preserve">, </w:t>
      </w:r>
      <w:r w:rsidRPr="00FE4A3E">
        <w:rPr>
          <w:rFonts w:ascii="Verdana" w:hAnsi="Verdana"/>
          <w:sz w:val="24"/>
          <w:szCs w:val="24"/>
        </w:rPr>
        <w:t>seguros</w:t>
      </w:r>
      <w:r w:rsidR="00C541EB">
        <w:rPr>
          <w:rFonts w:ascii="Verdana" w:hAnsi="Verdana"/>
          <w:sz w:val="24"/>
          <w:szCs w:val="24"/>
        </w:rPr>
        <w:t xml:space="preserve">, </w:t>
      </w:r>
      <w:r w:rsidRPr="00FE4A3E">
        <w:rPr>
          <w:rFonts w:ascii="Verdana" w:hAnsi="Verdana"/>
          <w:sz w:val="24"/>
          <w:szCs w:val="24"/>
        </w:rPr>
        <w:t>herramientas</w:t>
      </w:r>
      <w:r w:rsidR="00C541EB">
        <w:rPr>
          <w:rFonts w:ascii="Verdana" w:hAnsi="Verdana"/>
          <w:sz w:val="24"/>
          <w:szCs w:val="24"/>
        </w:rPr>
        <w:t xml:space="preserve">, </w:t>
      </w:r>
      <w:r w:rsidRPr="00FE4A3E">
        <w:rPr>
          <w:rFonts w:ascii="Verdana" w:hAnsi="Verdana"/>
          <w:sz w:val="24"/>
          <w:szCs w:val="24"/>
        </w:rPr>
        <w:t>movilidad</w:t>
      </w:r>
      <w:r w:rsidR="00C541EB">
        <w:rPr>
          <w:rFonts w:ascii="Verdana" w:hAnsi="Verdana"/>
          <w:sz w:val="24"/>
          <w:szCs w:val="24"/>
        </w:rPr>
        <w:t xml:space="preserve">, </w:t>
      </w:r>
      <w:r w:rsidRPr="00FE4A3E">
        <w:rPr>
          <w:rFonts w:ascii="Verdana" w:hAnsi="Verdana"/>
          <w:sz w:val="24"/>
          <w:szCs w:val="24"/>
        </w:rPr>
        <w:t>equipos</w:t>
      </w:r>
      <w:r w:rsidR="00C541EB">
        <w:rPr>
          <w:rFonts w:ascii="Verdana" w:hAnsi="Verdana"/>
          <w:sz w:val="24"/>
          <w:szCs w:val="24"/>
        </w:rPr>
        <w:t xml:space="preserve">, </w:t>
      </w:r>
      <w:r w:rsidRPr="00FE4A3E">
        <w:rPr>
          <w:rFonts w:ascii="Verdana" w:hAnsi="Verdana"/>
          <w:sz w:val="24"/>
          <w:szCs w:val="24"/>
        </w:rPr>
        <w:t>gastos generales</w:t>
      </w:r>
      <w:r w:rsidR="00C541EB">
        <w:rPr>
          <w:rFonts w:ascii="Verdana" w:hAnsi="Verdana"/>
          <w:sz w:val="24"/>
          <w:szCs w:val="24"/>
        </w:rPr>
        <w:t xml:space="preserve"> y </w:t>
      </w:r>
      <w:r w:rsidRPr="00FE4A3E">
        <w:rPr>
          <w:rFonts w:ascii="Verdana" w:hAnsi="Verdana"/>
          <w:sz w:val="24"/>
          <w:szCs w:val="24"/>
        </w:rPr>
        <w:t xml:space="preserve">beneficio empresario. </w:t>
      </w:r>
    </w:p>
    <w:p w14:paraId="79930350"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No se reconocerán adicionales.</w:t>
      </w:r>
    </w:p>
    <w:p w14:paraId="3917DE9E" w14:textId="1BF73C2A" w:rsidR="00FE4A3E" w:rsidRPr="00FE4A3E" w:rsidRDefault="00C541EB" w:rsidP="00FE4A3E">
      <w:pPr>
        <w:spacing w:line="360" w:lineRule="auto"/>
        <w:jc w:val="both"/>
        <w:rPr>
          <w:rFonts w:ascii="Verdana" w:hAnsi="Verdana"/>
          <w:sz w:val="24"/>
          <w:szCs w:val="24"/>
        </w:rPr>
      </w:pPr>
      <w:r>
        <w:rPr>
          <w:rFonts w:ascii="Verdana" w:hAnsi="Verdana"/>
          <w:sz w:val="24"/>
          <w:szCs w:val="24"/>
        </w:rPr>
        <w:t xml:space="preserve"> </w:t>
      </w:r>
      <w:r w:rsidR="00FE4A3E" w:rsidRPr="00FE4A3E">
        <w:rPr>
          <w:rFonts w:ascii="Verdana" w:hAnsi="Verdana"/>
          <w:b/>
          <w:bCs/>
          <w:sz w:val="24"/>
          <w:szCs w:val="24"/>
        </w:rPr>
        <w:t>ARTÍCULO 13° – CERTIFICACIÓN</w:t>
      </w:r>
      <w:r>
        <w:rPr>
          <w:rFonts w:ascii="Verdana" w:hAnsi="Verdana"/>
          <w:b/>
          <w:bCs/>
          <w:sz w:val="24"/>
          <w:szCs w:val="24"/>
        </w:rPr>
        <w:t xml:space="preserve">. </w:t>
      </w:r>
      <w:r w:rsidR="00FE4A3E" w:rsidRPr="00FE4A3E">
        <w:rPr>
          <w:rFonts w:ascii="Verdana" w:hAnsi="Verdana"/>
          <w:sz w:val="24"/>
          <w:szCs w:val="24"/>
        </w:rPr>
        <w:t xml:space="preserve">La obra será certificada </w:t>
      </w:r>
      <w:r>
        <w:rPr>
          <w:rFonts w:ascii="Verdana" w:hAnsi="Verdana"/>
          <w:sz w:val="24"/>
          <w:szCs w:val="24"/>
        </w:rPr>
        <w:t>quincenalmente</w:t>
      </w:r>
      <w:r w:rsidR="00FE4A3E" w:rsidRPr="00FE4A3E">
        <w:rPr>
          <w:rFonts w:ascii="Verdana" w:hAnsi="Verdana"/>
          <w:sz w:val="24"/>
          <w:szCs w:val="24"/>
        </w:rPr>
        <w:t xml:space="preserve"> por la Inspección Municipal.</w:t>
      </w:r>
      <w:r>
        <w:rPr>
          <w:rFonts w:ascii="Verdana" w:hAnsi="Verdana"/>
          <w:sz w:val="24"/>
          <w:szCs w:val="24"/>
        </w:rPr>
        <w:t xml:space="preserve"> </w:t>
      </w:r>
      <w:r w:rsidR="00FE4A3E" w:rsidRPr="00FE4A3E">
        <w:rPr>
          <w:rFonts w:ascii="Verdana" w:hAnsi="Verdana"/>
          <w:sz w:val="24"/>
          <w:szCs w:val="24"/>
        </w:rPr>
        <w:t>Sólo se abonarán trabajos efectivamente ejecutados.</w:t>
      </w:r>
    </w:p>
    <w:p w14:paraId="3315E41F" w14:textId="6162878E" w:rsidR="00FE4A3E" w:rsidRPr="00FE4A3E" w:rsidRDefault="00C541EB" w:rsidP="00FE4A3E">
      <w:pPr>
        <w:spacing w:line="360" w:lineRule="auto"/>
        <w:jc w:val="both"/>
        <w:rPr>
          <w:rFonts w:ascii="Verdana" w:hAnsi="Verdana"/>
          <w:sz w:val="24"/>
          <w:szCs w:val="24"/>
        </w:rPr>
      </w:pPr>
      <w:r>
        <w:rPr>
          <w:rFonts w:ascii="Verdana" w:hAnsi="Verdana"/>
          <w:sz w:val="24"/>
          <w:szCs w:val="24"/>
        </w:rPr>
        <w:t xml:space="preserve"> </w:t>
      </w:r>
      <w:r w:rsidR="00FE4A3E" w:rsidRPr="00FE4A3E">
        <w:rPr>
          <w:rFonts w:ascii="Verdana" w:hAnsi="Verdana"/>
          <w:b/>
          <w:bCs/>
          <w:sz w:val="24"/>
          <w:szCs w:val="24"/>
        </w:rPr>
        <w:t>ARTÍCULO 14° – FORMA DE PAGO</w:t>
      </w:r>
      <w:r>
        <w:rPr>
          <w:rFonts w:ascii="Verdana" w:hAnsi="Verdana"/>
          <w:b/>
          <w:bCs/>
          <w:sz w:val="24"/>
          <w:szCs w:val="24"/>
        </w:rPr>
        <w:t xml:space="preserve">. </w:t>
      </w:r>
      <w:r w:rsidR="00FE4A3E" w:rsidRPr="00FE4A3E">
        <w:rPr>
          <w:rFonts w:ascii="Verdana" w:hAnsi="Verdana"/>
          <w:sz w:val="24"/>
          <w:szCs w:val="24"/>
        </w:rPr>
        <w:t>Los pagos se efectuarán contra:</w:t>
      </w:r>
    </w:p>
    <w:p w14:paraId="69DD51E6" w14:textId="77777777" w:rsidR="00FE4A3E" w:rsidRPr="00FE4A3E" w:rsidRDefault="00FE4A3E" w:rsidP="00FE4A3E">
      <w:pPr>
        <w:numPr>
          <w:ilvl w:val="0"/>
          <w:numId w:val="7"/>
        </w:numPr>
        <w:spacing w:line="360" w:lineRule="auto"/>
        <w:jc w:val="both"/>
        <w:rPr>
          <w:rFonts w:ascii="Verdana" w:hAnsi="Verdana"/>
          <w:sz w:val="24"/>
          <w:szCs w:val="24"/>
        </w:rPr>
      </w:pPr>
      <w:r w:rsidRPr="00FE4A3E">
        <w:rPr>
          <w:rFonts w:ascii="Verdana" w:hAnsi="Verdana"/>
          <w:sz w:val="24"/>
          <w:szCs w:val="24"/>
        </w:rPr>
        <w:t xml:space="preserve">certificado de avance; </w:t>
      </w:r>
    </w:p>
    <w:p w14:paraId="6A9BE02F" w14:textId="77777777" w:rsidR="00FE4A3E" w:rsidRPr="00FE4A3E" w:rsidRDefault="00FE4A3E" w:rsidP="00FE4A3E">
      <w:pPr>
        <w:numPr>
          <w:ilvl w:val="0"/>
          <w:numId w:val="7"/>
        </w:numPr>
        <w:spacing w:line="360" w:lineRule="auto"/>
        <w:jc w:val="both"/>
        <w:rPr>
          <w:rFonts w:ascii="Verdana" w:hAnsi="Verdana"/>
          <w:sz w:val="24"/>
          <w:szCs w:val="24"/>
        </w:rPr>
      </w:pPr>
      <w:r w:rsidRPr="00FE4A3E">
        <w:rPr>
          <w:rFonts w:ascii="Verdana" w:hAnsi="Verdana"/>
          <w:sz w:val="24"/>
          <w:szCs w:val="24"/>
        </w:rPr>
        <w:t xml:space="preserve">factura correspondiente; </w:t>
      </w:r>
    </w:p>
    <w:p w14:paraId="78F46009" w14:textId="77777777" w:rsidR="00FE4A3E" w:rsidRPr="00FE4A3E" w:rsidRDefault="00FE4A3E" w:rsidP="00FE4A3E">
      <w:pPr>
        <w:numPr>
          <w:ilvl w:val="0"/>
          <w:numId w:val="7"/>
        </w:numPr>
        <w:spacing w:line="360" w:lineRule="auto"/>
        <w:jc w:val="both"/>
        <w:rPr>
          <w:rFonts w:ascii="Verdana" w:hAnsi="Verdana"/>
          <w:sz w:val="24"/>
          <w:szCs w:val="24"/>
        </w:rPr>
      </w:pPr>
      <w:r w:rsidRPr="00FE4A3E">
        <w:rPr>
          <w:rFonts w:ascii="Verdana" w:hAnsi="Verdana"/>
          <w:sz w:val="24"/>
          <w:szCs w:val="24"/>
        </w:rPr>
        <w:t xml:space="preserve">constancia de pago de aportes previsionales; </w:t>
      </w:r>
    </w:p>
    <w:p w14:paraId="521527DD" w14:textId="77777777" w:rsidR="00FE4A3E" w:rsidRPr="00FE4A3E" w:rsidRDefault="00FE4A3E" w:rsidP="00FE4A3E">
      <w:pPr>
        <w:numPr>
          <w:ilvl w:val="0"/>
          <w:numId w:val="7"/>
        </w:numPr>
        <w:spacing w:line="360" w:lineRule="auto"/>
        <w:jc w:val="both"/>
        <w:rPr>
          <w:rFonts w:ascii="Verdana" w:hAnsi="Verdana"/>
          <w:sz w:val="24"/>
          <w:szCs w:val="24"/>
        </w:rPr>
      </w:pPr>
      <w:r w:rsidRPr="00FE4A3E">
        <w:rPr>
          <w:rFonts w:ascii="Verdana" w:hAnsi="Verdana"/>
          <w:sz w:val="24"/>
          <w:szCs w:val="24"/>
        </w:rPr>
        <w:t xml:space="preserve">ART; </w:t>
      </w:r>
    </w:p>
    <w:p w14:paraId="10A72706" w14:textId="77777777" w:rsidR="00FE4A3E" w:rsidRPr="00FE4A3E" w:rsidRDefault="00FE4A3E" w:rsidP="00FE4A3E">
      <w:pPr>
        <w:numPr>
          <w:ilvl w:val="0"/>
          <w:numId w:val="7"/>
        </w:numPr>
        <w:spacing w:line="360" w:lineRule="auto"/>
        <w:jc w:val="both"/>
        <w:rPr>
          <w:rFonts w:ascii="Verdana" w:hAnsi="Verdana"/>
          <w:sz w:val="24"/>
          <w:szCs w:val="24"/>
        </w:rPr>
      </w:pPr>
      <w:r w:rsidRPr="00FE4A3E">
        <w:rPr>
          <w:rFonts w:ascii="Verdana" w:hAnsi="Verdana"/>
          <w:sz w:val="24"/>
          <w:szCs w:val="24"/>
        </w:rPr>
        <w:t xml:space="preserve">F-931; </w:t>
      </w:r>
    </w:p>
    <w:p w14:paraId="7790CD92" w14:textId="77777777" w:rsidR="00FE4A3E" w:rsidRPr="00FE4A3E" w:rsidRDefault="00FE4A3E" w:rsidP="00FE4A3E">
      <w:pPr>
        <w:numPr>
          <w:ilvl w:val="0"/>
          <w:numId w:val="7"/>
        </w:numPr>
        <w:spacing w:line="360" w:lineRule="auto"/>
        <w:jc w:val="both"/>
        <w:rPr>
          <w:rFonts w:ascii="Verdana" w:hAnsi="Verdana"/>
          <w:sz w:val="24"/>
          <w:szCs w:val="24"/>
        </w:rPr>
      </w:pPr>
      <w:r w:rsidRPr="00FE4A3E">
        <w:rPr>
          <w:rFonts w:ascii="Verdana" w:hAnsi="Verdana"/>
          <w:sz w:val="24"/>
          <w:szCs w:val="24"/>
        </w:rPr>
        <w:t xml:space="preserve">seguros vigentes. </w:t>
      </w:r>
    </w:p>
    <w:p w14:paraId="092B4351"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El Municipio podrá retener importes por multas o incumplimientos.</w:t>
      </w:r>
    </w:p>
    <w:p w14:paraId="7EAAB145" w14:textId="77E683FD" w:rsidR="00FE4A3E" w:rsidRPr="00FE4A3E" w:rsidRDefault="00C541EB" w:rsidP="00F14D6F">
      <w:pPr>
        <w:spacing w:line="360" w:lineRule="auto"/>
        <w:jc w:val="both"/>
        <w:rPr>
          <w:rFonts w:ascii="Verdana" w:hAnsi="Verdana"/>
          <w:sz w:val="24"/>
          <w:szCs w:val="24"/>
        </w:rPr>
      </w:pPr>
      <w:r>
        <w:rPr>
          <w:rFonts w:ascii="Verdana" w:hAnsi="Verdana"/>
          <w:sz w:val="24"/>
          <w:szCs w:val="24"/>
        </w:rPr>
        <w:t xml:space="preserve"> </w:t>
      </w:r>
      <w:r w:rsidR="00FE4A3E" w:rsidRPr="00FE4A3E">
        <w:rPr>
          <w:rFonts w:ascii="Verdana" w:hAnsi="Verdana"/>
          <w:b/>
          <w:bCs/>
          <w:sz w:val="24"/>
          <w:szCs w:val="24"/>
        </w:rPr>
        <w:t>ARTÍCULO 15° – PERSONAL</w:t>
      </w:r>
      <w:r>
        <w:rPr>
          <w:rFonts w:ascii="Verdana" w:hAnsi="Verdana"/>
          <w:b/>
          <w:bCs/>
          <w:sz w:val="24"/>
          <w:szCs w:val="24"/>
        </w:rPr>
        <w:t xml:space="preserve">.  </w:t>
      </w:r>
      <w:r w:rsidR="00FE4A3E" w:rsidRPr="00FE4A3E">
        <w:rPr>
          <w:rFonts w:ascii="Verdana" w:hAnsi="Verdana"/>
          <w:sz w:val="24"/>
          <w:szCs w:val="24"/>
        </w:rPr>
        <w:t>Todo el personal dependerá exclusivamente del contratista.</w:t>
      </w:r>
      <w:r>
        <w:rPr>
          <w:rFonts w:ascii="Verdana" w:hAnsi="Verdana"/>
          <w:sz w:val="24"/>
          <w:szCs w:val="24"/>
        </w:rPr>
        <w:t xml:space="preserve"> </w:t>
      </w:r>
      <w:r w:rsidR="00FE4A3E" w:rsidRPr="00FE4A3E">
        <w:rPr>
          <w:rFonts w:ascii="Verdana" w:hAnsi="Verdana"/>
          <w:sz w:val="24"/>
          <w:szCs w:val="24"/>
        </w:rPr>
        <w:t>El Municipio no asumirá responsabilidad laboral alguna.</w:t>
      </w:r>
      <w:r>
        <w:rPr>
          <w:rFonts w:ascii="Verdana" w:hAnsi="Verdana"/>
          <w:sz w:val="24"/>
          <w:szCs w:val="24"/>
        </w:rPr>
        <w:t xml:space="preserve"> </w:t>
      </w:r>
      <w:r w:rsidR="00FE4A3E" w:rsidRPr="00FE4A3E">
        <w:rPr>
          <w:rFonts w:ascii="Verdana" w:hAnsi="Verdana"/>
          <w:sz w:val="24"/>
          <w:szCs w:val="24"/>
        </w:rPr>
        <w:t>Será obligatorio:</w:t>
      </w:r>
      <w:r>
        <w:rPr>
          <w:rFonts w:ascii="Verdana" w:hAnsi="Verdana"/>
          <w:sz w:val="24"/>
          <w:szCs w:val="24"/>
        </w:rPr>
        <w:t xml:space="preserve"> </w:t>
      </w:r>
      <w:r w:rsidR="00FE4A3E" w:rsidRPr="00FE4A3E">
        <w:rPr>
          <w:rFonts w:ascii="Verdana" w:hAnsi="Verdana"/>
          <w:sz w:val="24"/>
          <w:szCs w:val="24"/>
        </w:rPr>
        <w:t>ART; seguros; elementos de protección personal</w:t>
      </w:r>
      <w:r>
        <w:rPr>
          <w:rFonts w:ascii="Verdana" w:hAnsi="Verdana"/>
          <w:sz w:val="24"/>
          <w:szCs w:val="24"/>
        </w:rPr>
        <w:t xml:space="preserve"> y </w:t>
      </w:r>
      <w:r w:rsidR="00FE4A3E" w:rsidRPr="00FE4A3E">
        <w:rPr>
          <w:rFonts w:ascii="Verdana" w:hAnsi="Verdana"/>
          <w:sz w:val="24"/>
          <w:szCs w:val="24"/>
        </w:rPr>
        <w:t xml:space="preserve">cumplimiento de legislación laboral y de higiene y seguridad. </w:t>
      </w:r>
    </w:p>
    <w:p w14:paraId="0F716977" w14:textId="3514ACC3" w:rsidR="00FE4A3E" w:rsidRPr="00FE4A3E" w:rsidRDefault="00FE4A3E" w:rsidP="00C541EB">
      <w:pPr>
        <w:tabs>
          <w:tab w:val="num" w:pos="720"/>
        </w:tabs>
        <w:spacing w:line="360" w:lineRule="auto"/>
        <w:jc w:val="both"/>
        <w:rPr>
          <w:rFonts w:ascii="Verdana" w:hAnsi="Verdana"/>
          <w:sz w:val="24"/>
          <w:szCs w:val="24"/>
        </w:rPr>
      </w:pPr>
      <w:r w:rsidRPr="00FE4A3E">
        <w:rPr>
          <w:rFonts w:ascii="Verdana" w:hAnsi="Verdana"/>
          <w:b/>
          <w:bCs/>
          <w:sz w:val="24"/>
          <w:szCs w:val="24"/>
        </w:rPr>
        <w:t>ARTÍCULO 16° – RESPONSABILIDAD</w:t>
      </w:r>
      <w:r w:rsidR="00C541EB">
        <w:rPr>
          <w:rFonts w:ascii="Verdana" w:hAnsi="Verdana"/>
          <w:b/>
          <w:bCs/>
          <w:sz w:val="24"/>
          <w:szCs w:val="24"/>
        </w:rPr>
        <w:t xml:space="preserve">. </w:t>
      </w:r>
      <w:r w:rsidRPr="00FE4A3E">
        <w:rPr>
          <w:rFonts w:ascii="Verdana" w:hAnsi="Verdana"/>
          <w:sz w:val="24"/>
          <w:szCs w:val="24"/>
        </w:rPr>
        <w:t>El contratista responderá por</w:t>
      </w:r>
      <w:r w:rsidR="00C541EB">
        <w:rPr>
          <w:rFonts w:ascii="Verdana" w:hAnsi="Verdana"/>
          <w:sz w:val="24"/>
          <w:szCs w:val="24"/>
        </w:rPr>
        <w:t xml:space="preserve"> </w:t>
      </w:r>
      <w:r w:rsidRPr="00FE4A3E">
        <w:rPr>
          <w:rFonts w:ascii="Verdana" w:hAnsi="Verdana"/>
          <w:sz w:val="24"/>
          <w:szCs w:val="24"/>
        </w:rPr>
        <w:t>accidentes</w:t>
      </w:r>
      <w:r w:rsidR="00C541EB">
        <w:rPr>
          <w:rFonts w:ascii="Verdana" w:hAnsi="Verdana"/>
          <w:sz w:val="24"/>
          <w:szCs w:val="24"/>
        </w:rPr>
        <w:t xml:space="preserve">, </w:t>
      </w:r>
      <w:r w:rsidRPr="00FE4A3E">
        <w:rPr>
          <w:rFonts w:ascii="Verdana" w:hAnsi="Verdana"/>
          <w:sz w:val="24"/>
          <w:szCs w:val="24"/>
        </w:rPr>
        <w:t>daños a terceros</w:t>
      </w:r>
      <w:r w:rsidR="00C541EB">
        <w:rPr>
          <w:rFonts w:ascii="Verdana" w:hAnsi="Verdana"/>
          <w:sz w:val="24"/>
          <w:szCs w:val="24"/>
        </w:rPr>
        <w:t xml:space="preserve">, </w:t>
      </w:r>
      <w:r w:rsidRPr="00FE4A3E">
        <w:rPr>
          <w:rFonts w:ascii="Verdana" w:hAnsi="Verdana"/>
          <w:sz w:val="24"/>
          <w:szCs w:val="24"/>
        </w:rPr>
        <w:t>daños al patrimonio municipal</w:t>
      </w:r>
      <w:r w:rsidR="00C541EB">
        <w:rPr>
          <w:rFonts w:ascii="Verdana" w:hAnsi="Verdana"/>
          <w:sz w:val="24"/>
          <w:szCs w:val="24"/>
        </w:rPr>
        <w:t xml:space="preserve">, </w:t>
      </w:r>
      <w:r w:rsidRPr="00FE4A3E">
        <w:rPr>
          <w:rFonts w:ascii="Verdana" w:hAnsi="Verdana"/>
          <w:sz w:val="24"/>
          <w:szCs w:val="24"/>
        </w:rPr>
        <w:t>roturas de servicios</w:t>
      </w:r>
      <w:r w:rsidR="00C541EB">
        <w:rPr>
          <w:rFonts w:ascii="Verdana" w:hAnsi="Verdana"/>
          <w:sz w:val="24"/>
          <w:szCs w:val="24"/>
        </w:rPr>
        <w:t xml:space="preserve"> e </w:t>
      </w:r>
      <w:r w:rsidRPr="00FE4A3E">
        <w:rPr>
          <w:rFonts w:ascii="Verdana" w:hAnsi="Verdana"/>
          <w:sz w:val="24"/>
          <w:szCs w:val="24"/>
        </w:rPr>
        <w:t xml:space="preserve">incumplimientos de normas de seguridad. </w:t>
      </w:r>
    </w:p>
    <w:p w14:paraId="5B51706C" w14:textId="3B2CF8AA"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rPr>
        <w:t>ARTÍCULO 17° – MULTAS</w:t>
      </w:r>
      <w:r w:rsidR="00C541EB">
        <w:rPr>
          <w:rFonts w:ascii="Verdana" w:hAnsi="Verdana"/>
          <w:b/>
          <w:bCs/>
          <w:sz w:val="24"/>
          <w:szCs w:val="24"/>
        </w:rPr>
        <w:t xml:space="preserve">. </w:t>
      </w:r>
      <w:r w:rsidRPr="00FE4A3E">
        <w:rPr>
          <w:rFonts w:ascii="Verdana" w:hAnsi="Verdana"/>
          <w:sz w:val="24"/>
          <w:szCs w:val="24"/>
        </w:rPr>
        <w:t>Se establecen las siguientes penalidades:</w:t>
      </w:r>
    </w:p>
    <w:p w14:paraId="26C3BD61" w14:textId="0AA91FF8"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rPr>
        <w:t>Demora injustificada</w:t>
      </w:r>
      <w:r w:rsidR="00C541EB">
        <w:rPr>
          <w:rFonts w:ascii="Verdana" w:hAnsi="Verdana"/>
          <w:b/>
          <w:bCs/>
          <w:sz w:val="24"/>
          <w:szCs w:val="24"/>
        </w:rPr>
        <w:t xml:space="preserve">: </w:t>
      </w:r>
      <w:r w:rsidRPr="00FE4A3E">
        <w:rPr>
          <w:rFonts w:ascii="Verdana" w:hAnsi="Verdana"/>
          <w:sz w:val="24"/>
          <w:szCs w:val="24"/>
        </w:rPr>
        <w:t>0,30 % del monto contractual por cada día.</w:t>
      </w:r>
    </w:p>
    <w:p w14:paraId="751C046A" w14:textId="153B0B4D"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rPr>
        <w:lastRenderedPageBreak/>
        <w:t>Incumplimiento de órdenes de inspección</w:t>
      </w:r>
      <w:r w:rsidR="00C541EB">
        <w:rPr>
          <w:rFonts w:ascii="Verdana" w:hAnsi="Verdana"/>
          <w:b/>
          <w:bCs/>
          <w:sz w:val="24"/>
          <w:szCs w:val="24"/>
        </w:rPr>
        <w:t xml:space="preserve">: </w:t>
      </w:r>
      <w:r w:rsidRPr="00FE4A3E">
        <w:rPr>
          <w:rFonts w:ascii="Verdana" w:hAnsi="Verdana"/>
          <w:sz w:val="24"/>
          <w:szCs w:val="24"/>
        </w:rPr>
        <w:t>$500.000 por cada incumplimiento.</w:t>
      </w:r>
    </w:p>
    <w:p w14:paraId="5C8FB101" w14:textId="32E0061B"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rPr>
        <w:t>Incumplimiento de normas de seguridad</w:t>
      </w:r>
      <w:r w:rsidR="00C541EB">
        <w:rPr>
          <w:rFonts w:ascii="Verdana" w:hAnsi="Verdana"/>
          <w:b/>
          <w:bCs/>
          <w:sz w:val="24"/>
          <w:szCs w:val="24"/>
        </w:rPr>
        <w:t xml:space="preserve">: </w:t>
      </w:r>
      <w:r w:rsidRPr="00FE4A3E">
        <w:rPr>
          <w:rFonts w:ascii="Verdana" w:hAnsi="Verdana"/>
          <w:sz w:val="24"/>
          <w:szCs w:val="24"/>
        </w:rPr>
        <w:t>$1.000.000 por cada constatación.</w:t>
      </w:r>
    </w:p>
    <w:p w14:paraId="0F864DBB"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Las multas podrán descontarse de certificados pendientes.</w:t>
      </w:r>
    </w:p>
    <w:p w14:paraId="4B48C035" w14:textId="57189472" w:rsidR="00FE4A3E" w:rsidRPr="00FE4A3E" w:rsidRDefault="00C541EB" w:rsidP="003E2E62">
      <w:pPr>
        <w:spacing w:line="360" w:lineRule="auto"/>
        <w:jc w:val="both"/>
        <w:rPr>
          <w:rFonts w:ascii="Verdana" w:hAnsi="Verdana"/>
          <w:sz w:val="24"/>
          <w:szCs w:val="24"/>
        </w:rPr>
      </w:pPr>
      <w:r>
        <w:rPr>
          <w:rFonts w:ascii="Verdana" w:hAnsi="Verdana"/>
          <w:sz w:val="24"/>
          <w:szCs w:val="24"/>
        </w:rPr>
        <w:t xml:space="preserve"> </w:t>
      </w:r>
      <w:r w:rsidR="00FE4A3E" w:rsidRPr="00FE4A3E">
        <w:rPr>
          <w:rFonts w:ascii="Verdana" w:hAnsi="Verdana"/>
          <w:b/>
          <w:bCs/>
          <w:sz w:val="24"/>
          <w:szCs w:val="24"/>
        </w:rPr>
        <w:t>ARTÍCULO 18° – RESCISIÓN</w:t>
      </w:r>
      <w:r>
        <w:rPr>
          <w:rFonts w:ascii="Verdana" w:hAnsi="Verdana"/>
          <w:b/>
          <w:bCs/>
          <w:sz w:val="24"/>
          <w:szCs w:val="24"/>
        </w:rPr>
        <w:t xml:space="preserve">. </w:t>
      </w:r>
      <w:r w:rsidR="00FE4A3E" w:rsidRPr="00FE4A3E">
        <w:rPr>
          <w:rFonts w:ascii="Verdana" w:hAnsi="Verdana"/>
          <w:sz w:val="24"/>
          <w:szCs w:val="24"/>
        </w:rPr>
        <w:t>El Municipio podrá rescindir de pleno derecho cuando:</w:t>
      </w:r>
      <w:r>
        <w:rPr>
          <w:rFonts w:ascii="Verdana" w:hAnsi="Verdana"/>
          <w:sz w:val="24"/>
          <w:szCs w:val="24"/>
        </w:rPr>
        <w:t xml:space="preserve"> </w:t>
      </w:r>
      <w:r w:rsidR="00FE4A3E" w:rsidRPr="00FE4A3E">
        <w:rPr>
          <w:rFonts w:ascii="Verdana" w:hAnsi="Verdana"/>
          <w:sz w:val="24"/>
          <w:szCs w:val="24"/>
        </w:rPr>
        <w:t>exista abandono de obra; demora superior a diez (10) días sin causa; reiterados incumplimientos técnicos;</w:t>
      </w:r>
      <w:r>
        <w:rPr>
          <w:rFonts w:ascii="Verdana" w:hAnsi="Verdana"/>
          <w:sz w:val="24"/>
          <w:szCs w:val="24"/>
        </w:rPr>
        <w:t xml:space="preserve"> </w:t>
      </w:r>
      <w:r w:rsidR="00FE4A3E" w:rsidRPr="00FE4A3E">
        <w:rPr>
          <w:rFonts w:ascii="Verdana" w:hAnsi="Verdana"/>
          <w:sz w:val="24"/>
          <w:szCs w:val="24"/>
        </w:rPr>
        <w:t>cesión del contrato sin autorización</w:t>
      </w:r>
      <w:r>
        <w:rPr>
          <w:rFonts w:ascii="Verdana" w:hAnsi="Verdana"/>
          <w:sz w:val="24"/>
          <w:szCs w:val="24"/>
        </w:rPr>
        <w:t xml:space="preserve"> y/o </w:t>
      </w:r>
      <w:r w:rsidR="00FE4A3E" w:rsidRPr="00FE4A3E">
        <w:rPr>
          <w:rFonts w:ascii="Verdana" w:hAnsi="Verdana"/>
          <w:sz w:val="24"/>
          <w:szCs w:val="24"/>
        </w:rPr>
        <w:t xml:space="preserve">pérdida de capacidad técnica. </w:t>
      </w:r>
    </w:p>
    <w:p w14:paraId="41029116"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La rescisión producirá la ejecución inmediata de las garantías.</w:t>
      </w:r>
    </w:p>
    <w:p w14:paraId="4FCCC56B" w14:textId="3E6D085C" w:rsidR="00FE4A3E" w:rsidRPr="00FE4A3E" w:rsidRDefault="00C541EB" w:rsidP="00F14D6F">
      <w:pPr>
        <w:spacing w:line="360" w:lineRule="auto"/>
        <w:jc w:val="both"/>
        <w:rPr>
          <w:rFonts w:ascii="Verdana" w:hAnsi="Verdana"/>
          <w:sz w:val="24"/>
          <w:szCs w:val="24"/>
        </w:rPr>
      </w:pPr>
      <w:r>
        <w:rPr>
          <w:rFonts w:ascii="Verdana" w:hAnsi="Verdana"/>
          <w:sz w:val="24"/>
          <w:szCs w:val="24"/>
        </w:rPr>
        <w:t xml:space="preserve"> </w:t>
      </w:r>
      <w:r w:rsidR="00FE4A3E" w:rsidRPr="00FE4A3E">
        <w:rPr>
          <w:rFonts w:ascii="Verdana" w:hAnsi="Verdana"/>
          <w:b/>
          <w:bCs/>
          <w:sz w:val="24"/>
          <w:szCs w:val="24"/>
        </w:rPr>
        <w:t>ARTÍCULO 19° – CRITERIO DE ADJUDICACIÓN</w:t>
      </w:r>
      <w:r>
        <w:rPr>
          <w:rFonts w:ascii="Verdana" w:hAnsi="Verdana"/>
          <w:b/>
          <w:bCs/>
          <w:sz w:val="24"/>
          <w:szCs w:val="24"/>
        </w:rPr>
        <w:t xml:space="preserve">. </w:t>
      </w:r>
      <w:r w:rsidR="00FE4A3E" w:rsidRPr="00FE4A3E">
        <w:rPr>
          <w:rFonts w:ascii="Verdana" w:hAnsi="Verdana"/>
          <w:sz w:val="24"/>
          <w:szCs w:val="24"/>
        </w:rPr>
        <w:t>La adjudicación recaerá sobre la propuesta más conveniente para los intereses municipales, considerando:</w:t>
      </w:r>
      <w:r>
        <w:rPr>
          <w:rFonts w:ascii="Verdana" w:hAnsi="Verdana"/>
          <w:sz w:val="24"/>
          <w:szCs w:val="24"/>
        </w:rPr>
        <w:t xml:space="preserve"> </w:t>
      </w:r>
      <w:r w:rsidR="00FE4A3E" w:rsidRPr="00FE4A3E">
        <w:rPr>
          <w:rFonts w:ascii="Verdana" w:hAnsi="Verdana"/>
          <w:sz w:val="24"/>
          <w:szCs w:val="24"/>
        </w:rPr>
        <w:t>precio</w:t>
      </w:r>
      <w:r>
        <w:rPr>
          <w:rFonts w:ascii="Verdana" w:hAnsi="Verdana"/>
          <w:sz w:val="24"/>
          <w:szCs w:val="24"/>
        </w:rPr>
        <w:t xml:space="preserve">, </w:t>
      </w:r>
      <w:r w:rsidR="00FE4A3E" w:rsidRPr="00FE4A3E">
        <w:rPr>
          <w:rFonts w:ascii="Verdana" w:hAnsi="Verdana"/>
          <w:sz w:val="24"/>
          <w:szCs w:val="24"/>
        </w:rPr>
        <w:t>antecedentes</w:t>
      </w:r>
      <w:r>
        <w:rPr>
          <w:rFonts w:ascii="Verdana" w:hAnsi="Verdana"/>
          <w:sz w:val="24"/>
          <w:szCs w:val="24"/>
        </w:rPr>
        <w:t xml:space="preserve">, </w:t>
      </w:r>
      <w:r w:rsidR="00FE4A3E" w:rsidRPr="00FE4A3E">
        <w:rPr>
          <w:rFonts w:ascii="Verdana" w:hAnsi="Verdana"/>
          <w:sz w:val="24"/>
          <w:szCs w:val="24"/>
        </w:rPr>
        <w:t>solvencia técnica</w:t>
      </w:r>
      <w:r>
        <w:rPr>
          <w:rFonts w:ascii="Verdana" w:hAnsi="Verdana"/>
          <w:sz w:val="24"/>
          <w:szCs w:val="24"/>
        </w:rPr>
        <w:t xml:space="preserve">, </w:t>
      </w:r>
      <w:r w:rsidR="00FE4A3E" w:rsidRPr="00FE4A3E">
        <w:rPr>
          <w:rFonts w:ascii="Verdana" w:hAnsi="Verdana"/>
          <w:sz w:val="24"/>
          <w:szCs w:val="24"/>
        </w:rPr>
        <w:t>disponibilidad de equipos</w:t>
      </w:r>
      <w:r>
        <w:rPr>
          <w:rFonts w:ascii="Verdana" w:hAnsi="Verdana"/>
          <w:sz w:val="24"/>
          <w:szCs w:val="24"/>
        </w:rPr>
        <w:t xml:space="preserve">, </w:t>
      </w:r>
      <w:r w:rsidR="00FE4A3E" w:rsidRPr="00FE4A3E">
        <w:rPr>
          <w:rFonts w:ascii="Verdana" w:hAnsi="Verdana"/>
          <w:sz w:val="24"/>
          <w:szCs w:val="24"/>
        </w:rPr>
        <w:t>experiencia</w:t>
      </w:r>
      <w:r>
        <w:rPr>
          <w:rFonts w:ascii="Verdana" w:hAnsi="Verdana"/>
          <w:sz w:val="24"/>
          <w:szCs w:val="24"/>
        </w:rPr>
        <w:t xml:space="preserve">, </w:t>
      </w:r>
      <w:r w:rsidR="00FE4A3E" w:rsidRPr="00FE4A3E">
        <w:rPr>
          <w:rFonts w:ascii="Verdana" w:hAnsi="Verdana"/>
          <w:sz w:val="24"/>
          <w:szCs w:val="24"/>
        </w:rPr>
        <w:t>plazo</w:t>
      </w:r>
      <w:r>
        <w:rPr>
          <w:rFonts w:ascii="Verdana" w:hAnsi="Verdana"/>
          <w:sz w:val="24"/>
          <w:szCs w:val="24"/>
        </w:rPr>
        <w:t xml:space="preserve">, </w:t>
      </w:r>
      <w:r w:rsidR="00FE4A3E" w:rsidRPr="00FE4A3E">
        <w:rPr>
          <w:rFonts w:ascii="Verdana" w:hAnsi="Verdana"/>
          <w:sz w:val="24"/>
          <w:szCs w:val="24"/>
        </w:rPr>
        <w:t>capacidad operativa</w:t>
      </w:r>
      <w:r>
        <w:rPr>
          <w:rFonts w:ascii="Verdana" w:hAnsi="Verdana"/>
          <w:sz w:val="24"/>
          <w:szCs w:val="24"/>
        </w:rPr>
        <w:t xml:space="preserve"> y </w:t>
      </w:r>
      <w:r w:rsidR="00FE4A3E" w:rsidRPr="00FE4A3E">
        <w:rPr>
          <w:rFonts w:ascii="Verdana" w:hAnsi="Verdana"/>
          <w:sz w:val="24"/>
          <w:szCs w:val="24"/>
        </w:rPr>
        <w:t xml:space="preserve">conveniencia general. </w:t>
      </w:r>
    </w:p>
    <w:p w14:paraId="7DBE80E5" w14:textId="77777777" w:rsidR="00FE4A3E" w:rsidRPr="00FE4A3E" w:rsidRDefault="00FE4A3E" w:rsidP="00FE4A3E">
      <w:pPr>
        <w:spacing w:line="360" w:lineRule="auto"/>
        <w:jc w:val="both"/>
        <w:rPr>
          <w:rFonts w:ascii="Verdana" w:hAnsi="Verdana"/>
          <w:sz w:val="24"/>
          <w:szCs w:val="24"/>
        </w:rPr>
      </w:pPr>
      <w:r w:rsidRPr="00FE4A3E">
        <w:rPr>
          <w:rFonts w:ascii="Verdana" w:hAnsi="Verdana"/>
          <w:sz w:val="24"/>
          <w:szCs w:val="24"/>
        </w:rPr>
        <w:t xml:space="preserve">La Municipalidad podrá rechazar todas las ofertas sin generar derecho a indemnización. </w:t>
      </w:r>
    </w:p>
    <w:p w14:paraId="363FE502" w14:textId="1F080D9B" w:rsidR="00FE4A3E" w:rsidRPr="00FE4A3E" w:rsidRDefault="00FE4A3E" w:rsidP="00FE4A3E">
      <w:pPr>
        <w:spacing w:line="360" w:lineRule="auto"/>
        <w:jc w:val="both"/>
        <w:rPr>
          <w:rFonts w:ascii="Verdana" w:hAnsi="Verdana"/>
          <w:sz w:val="24"/>
          <w:szCs w:val="24"/>
        </w:rPr>
      </w:pPr>
      <w:r w:rsidRPr="00FE4A3E">
        <w:rPr>
          <w:rFonts w:ascii="Verdana" w:hAnsi="Verdana"/>
          <w:b/>
          <w:bCs/>
          <w:sz w:val="24"/>
          <w:szCs w:val="24"/>
        </w:rPr>
        <w:t>ARTÍCULO 20° – INSPECCIÓN</w:t>
      </w:r>
      <w:r w:rsidR="00C541EB">
        <w:rPr>
          <w:rFonts w:ascii="Verdana" w:hAnsi="Verdana"/>
          <w:b/>
          <w:bCs/>
          <w:sz w:val="24"/>
          <w:szCs w:val="24"/>
        </w:rPr>
        <w:t xml:space="preserve">. </w:t>
      </w:r>
      <w:r w:rsidRPr="00FE4A3E">
        <w:rPr>
          <w:rFonts w:ascii="Verdana" w:hAnsi="Verdana"/>
          <w:sz w:val="24"/>
          <w:szCs w:val="24"/>
        </w:rPr>
        <w:t>La inspección estará a cargo de la Secretaría de Obras Públicas.</w:t>
      </w:r>
      <w:r w:rsidR="00C541EB">
        <w:rPr>
          <w:rFonts w:ascii="Verdana" w:hAnsi="Verdana"/>
          <w:sz w:val="24"/>
          <w:szCs w:val="24"/>
        </w:rPr>
        <w:t xml:space="preserve"> </w:t>
      </w:r>
      <w:r w:rsidRPr="00FE4A3E">
        <w:rPr>
          <w:rFonts w:ascii="Verdana" w:hAnsi="Verdana"/>
          <w:sz w:val="24"/>
          <w:szCs w:val="24"/>
        </w:rPr>
        <w:t>Toda instrucción impartida por escrito será obligatoria para el contratista.</w:t>
      </w:r>
    </w:p>
    <w:p w14:paraId="1CD83D9E" w14:textId="770EBA65" w:rsidR="00FE4A3E" w:rsidRPr="00FE4A3E" w:rsidRDefault="00C541EB" w:rsidP="00FE4A3E">
      <w:pPr>
        <w:spacing w:line="360" w:lineRule="auto"/>
        <w:jc w:val="both"/>
        <w:rPr>
          <w:rFonts w:ascii="Verdana" w:hAnsi="Verdana"/>
          <w:sz w:val="24"/>
          <w:szCs w:val="24"/>
        </w:rPr>
      </w:pPr>
      <w:r>
        <w:rPr>
          <w:rFonts w:ascii="Verdana" w:hAnsi="Verdana"/>
          <w:sz w:val="24"/>
          <w:szCs w:val="24"/>
        </w:rPr>
        <w:t xml:space="preserve"> </w:t>
      </w:r>
      <w:r w:rsidR="00FE4A3E" w:rsidRPr="00FE4A3E">
        <w:rPr>
          <w:rFonts w:ascii="Verdana" w:hAnsi="Verdana"/>
          <w:b/>
          <w:bCs/>
          <w:sz w:val="24"/>
          <w:szCs w:val="24"/>
        </w:rPr>
        <w:t>ARTÍCULO 21° – CONSULTAS</w:t>
      </w:r>
      <w:r>
        <w:rPr>
          <w:rFonts w:ascii="Verdana" w:hAnsi="Verdana"/>
          <w:b/>
          <w:bCs/>
          <w:sz w:val="24"/>
          <w:szCs w:val="24"/>
        </w:rPr>
        <w:t xml:space="preserve">. </w:t>
      </w:r>
      <w:r w:rsidR="00FE4A3E" w:rsidRPr="00FE4A3E">
        <w:rPr>
          <w:rFonts w:ascii="Verdana" w:hAnsi="Verdana"/>
          <w:sz w:val="24"/>
          <w:szCs w:val="24"/>
        </w:rPr>
        <w:t xml:space="preserve">Las consultas podrán formularse hasta tres (3) días hábiles antes de la apertura en la Secretaría de </w:t>
      </w:r>
      <w:r>
        <w:rPr>
          <w:rFonts w:ascii="Verdana" w:hAnsi="Verdana"/>
          <w:sz w:val="24"/>
          <w:szCs w:val="24"/>
        </w:rPr>
        <w:t>Gobierno</w:t>
      </w:r>
      <w:r w:rsidR="00FE4A3E" w:rsidRPr="00FE4A3E">
        <w:rPr>
          <w:rFonts w:ascii="Verdana" w:hAnsi="Verdana"/>
          <w:sz w:val="24"/>
          <w:szCs w:val="24"/>
        </w:rPr>
        <w:t xml:space="preserve">. Las respuestas se comunicarán por escrito a todos los invitados. </w:t>
      </w:r>
    </w:p>
    <w:p w14:paraId="2D1FF776" w14:textId="4CC32FD4" w:rsidR="00FE4A3E" w:rsidRPr="00FE4A3E" w:rsidRDefault="00C541EB" w:rsidP="00FE4A3E">
      <w:pPr>
        <w:spacing w:line="360" w:lineRule="auto"/>
        <w:jc w:val="both"/>
        <w:rPr>
          <w:rFonts w:ascii="Verdana" w:hAnsi="Verdana"/>
          <w:sz w:val="24"/>
          <w:szCs w:val="24"/>
        </w:rPr>
      </w:pPr>
      <w:r>
        <w:rPr>
          <w:rFonts w:ascii="Verdana" w:hAnsi="Verdana"/>
          <w:sz w:val="24"/>
          <w:szCs w:val="24"/>
        </w:rPr>
        <w:t xml:space="preserve"> </w:t>
      </w:r>
      <w:r w:rsidR="00FE4A3E" w:rsidRPr="00FE4A3E">
        <w:rPr>
          <w:rFonts w:ascii="Verdana" w:hAnsi="Verdana"/>
          <w:b/>
          <w:bCs/>
          <w:sz w:val="24"/>
          <w:szCs w:val="24"/>
        </w:rPr>
        <w:t>ARTÍCULO 22° – SEGUNDO LLAMADO</w:t>
      </w:r>
      <w:r>
        <w:rPr>
          <w:rFonts w:ascii="Verdana" w:hAnsi="Verdana"/>
          <w:b/>
          <w:bCs/>
          <w:sz w:val="24"/>
          <w:szCs w:val="24"/>
        </w:rPr>
        <w:t xml:space="preserve">. </w:t>
      </w:r>
      <w:r w:rsidR="00FE4A3E" w:rsidRPr="00FE4A3E">
        <w:rPr>
          <w:rFonts w:ascii="Verdana" w:hAnsi="Verdana"/>
          <w:sz w:val="24"/>
          <w:szCs w:val="24"/>
        </w:rPr>
        <w:t xml:space="preserve">Si no se obtuvieran al menos dos (2) ofertas admisibles, el Municipio efectuará un segundo llamado </w:t>
      </w:r>
      <w:r w:rsidR="00FE4A3E" w:rsidRPr="00FE4A3E">
        <w:rPr>
          <w:rFonts w:ascii="Verdana" w:hAnsi="Verdana"/>
          <w:sz w:val="24"/>
          <w:szCs w:val="24"/>
        </w:rPr>
        <w:lastRenderedPageBreak/>
        <w:t xml:space="preserve">conforme al artículo 76 de la Ordenanza N° 491/08 y, de persistir dicha circunstancia, podrá contratar en forma directa. </w:t>
      </w:r>
    </w:p>
    <w:p w14:paraId="3842DCE0" w14:textId="0B11A17E" w:rsidR="00FE4A3E" w:rsidRPr="00FE4A3E" w:rsidRDefault="00C541EB" w:rsidP="00F14D6F">
      <w:pPr>
        <w:spacing w:line="360" w:lineRule="auto"/>
        <w:jc w:val="both"/>
        <w:rPr>
          <w:rFonts w:ascii="Verdana" w:hAnsi="Verdana"/>
          <w:sz w:val="24"/>
          <w:szCs w:val="24"/>
        </w:rPr>
      </w:pPr>
      <w:r>
        <w:rPr>
          <w:rFonts w:ascii="Verdana" w:hAnsi="Verdana"/>
          <w:sz w:val="24"/>
          <w:szCs w:val="24"/>
        </w:rPr>
        <w:t xml:space="preserve"> </w:t>
      </w:r>
      <w:r w:rsidR="00FE4A3E" w:rsidRPr="00FE4A3E">
        <w:rPr>
          <w:rFonts w:ascii="Verdana" w:hAnsi="Verdana"/>
          <w:b/>
          <w:bCs/>
          <w:sz w:val="24"/>
          <w:szCs w:val="24"/>
        </w:rPr>
        <w:t>ARTÍCULO 23° – DOCUMENTACIÓN INTEGRANTE</w:t>
      </w:r>
      <w:r>
        <w:rPr>
          <w:rFonts w:ascii="Verdana" w:hAnsi="Verdana"/>
          <w:b/>
          <w:bCs/>
          <w:sz w:val="24"/>
          <w:szCs w:val="24"/>
        </w:rPr>
        <w:t xml:space="preserve">. </w:t>
      </w:r>
      <w:r w:rsidR="00FE4A3E" w:rsidRPr="00FE4A3E">
        <w:rPr>
          <w:rFonts w:ascii="Verdana" w:hAnsi="Verdana"/>
          <w:sz w:val="24"/>
          <w:szCs w:val="24"/>
        </w:rPr>
        <w:t>Integran el presente Pliego:</w:t>
      </w:r>
      <w:r>
        <w:rPr>
          <w:rFonts w:ascii="Verdana" w:hAnsi="Verdana"/>
          <w:sz w:val="24"/>
          <w:szCs w:val="24"/>
        </w:rPr>
        <w:t xml:space="preserve"> </w:t>
      </w:r>
      <w:r w:rsidR="00FE4A3E" w:rsidRPr="00FE4A3E">
        <w:rPr>
          <w:rFonts w:ascii="Verdana" w:hAnsi="Verdana"/>
          <w:sz w:val="24"/>
          <w:szCs w:val="24"/>
        </w:rPr>
        <w:t xml:space="preserve">Decreto de convocatoria. Memoria descriptiva. Planos. Cómputo métrico. Presupuesto oficial. Especificaciones técnicas. Toda circular aclaratoria que emita la Municipalidad. </w:t>
      </w:r>
      <w:bookmarkStart w:id="0" w:name="_GoBack"/>
      <w:bookmarkEnd w:id="0"/>
    </w:p>
    <w:p w14:paraId="040E4267" w14:textId="77777777" w:rsidR="00FE4A3E" w:rsidRPr="00FE4A3E" w:rsidRDefault="00FE4A3E" w:rsidP="00FE4A3E">
      <w:pPr>
        <w:spacing w:line="360" w:lineRule="auto"/>
        <w:jc w:val="both"/>
        <w:rPr>
          <w:rFonts w:ascii="Verdana" w:hAnsi="Verdana"/>
          <w:sz w:val="24"/>
          <w:szCs w:val="24"/>
        </w:rPr>
      </w:pPr>
    </w:p>
    <w:sectPr w:rsidR="00FE4A3E" w:rsidRPr="00FE4A3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082A6" w14:textId="77777777" w:rsidR="00E25B55" w:rsidRDefault="00E25B55" w:rsidP="00C541EB">
      <w:pPr>
        <w:spacing w:after="0" w:line="240" w:lineRule="auto"/>
      </w:pPr>
      <w:r>
        <w:separator/>
      </w:r>
    </w:p>
  </w:endnote>
  <w:endnote w:type="continuationSeparator" w:id="0">
    <w:p w14:paraId="40AF900F" w14:textId="77777777" w:rsidR="00E25B55" w:rsidRDefault="00E25B55" w:rsidP="00C54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4AD4A" w14:textId="77777777" w:rsidR="00E25B55" w:rsidRDefault="00E25B55" w:rsidP="00C541EB">
      <w:pPr>
        <w:spacing w:after="0" w:line="240" w:lineRule="auto"/>
      </w:pPr>
      <w:r>
        <w:separator/>
      </w:r>
    </w:p>
  </w:footnote>
  <w:footnote w:type="continuationSeparator" w:id="0">
    <w:p w14:paraId="4992C285" w14:textId="77777777" w:rsidR="00E25B55" w:rsidRDefault="00E25B55" w:rsidP="00C541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E9A32" w14:textId="77777777" w:rsidR="00C541EB" w:rsidRDefault="00C541EB" w:rsidP="00C541EB">
    <w:pPr>
      <w:tabs>
        <w:tab w:val="center" w:pos="4513"/>
        <w:tab w:val="right" w:pos="9026"/>
      </w:tabs>
      <w:spacing w:after="0" w:line="240" w:lineRule="auto"/>
    </w:pPr>
    <w:r w:rsidRPr="00795EBB">
      <w:rPr>
        <w:rFonts w:ascii="Verdana" w:eastAsia="Calibri" w:hAnsi="Verdana" w:cs="Times New Roman"/>
        <w:noProof/>
        <w:kern w:val="0"/>
        <w:sz w:val="24"/>
        <w:lang w:eastAsia="es-AR"/>
        <w14:ligatures w14:val="none"/>
      </w:rPr>
      <w:drawing>
        <wp:anchor distT="0" distB="0" distL="114300" distR="114300" simplePos="0" relativeHeight="251659264" behindDoc="0" locked="0" layoutInCell="1" allowOverlap="1" wp14:anchorId="2A2E2DC2" wp14:editId="489E2ACA">
          <wp:simplePos x="0" y="0"/>
          <wp:positionH relativeFrom="margin">
            <wp:align>right</wp:align>
          </wp:positionH>
          <wp:positionV relativeFrom="paragraph">
            <wp:posOffset>-106680</wp:posOffset>
          </wp:positionV>
          <wp:extent cx="5731510" cy="1087120"/>
          <wp:effectExtent l="0" t="0" r="2540" b="0"/>
          <wp:wrapThrough wrapText="bothSides">
            <wp:wrapPolygon edited="0">
              <wp:start x="0" y="0"/>
              <wp:lineTo x="0" y="21196"/>
              <wp:lineTo x="21538" y="21196"/>
              <wp:lineTo x="21538" y="0"/>
              <wp:lineTo x="0" y="0"/>
            </wp:wrapPolygon>
          </wp:wrapThrough>
          <wp:docPr id="16421803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087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5B8F13" w14:textId="77777777" w:rsidR="00C541EB" w:rsidRDefault="00C541E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2F23"/>
    <w:multiLevelType w:val="multilevel"/>
    <w:tmpl w:val="32AE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937FE5"/>
    <w:multiLevelType w:val="multilevel"/>
    <w:tmpl w:val="7272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E41837"/>
    <w:multiLevelType w:val="multilevel"/>
    <w:tmpl w:val="761E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7E1D2B"/>
    <w:multiLevelType w:val="multilevel"/>
    <w:tmpl w:val="4CBC5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B45BA2"/>
    <w:multiLevelType w:val="multilevel"/>
    <w:tmpl w:val="2DE8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2E3AE5"/>
    <w:multiLevelType w:val="multilevel"/>
    <w:tmpl w:val="23E8C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5F7D07"/>
    <w:multiLevelType w:val="multilevel"/>
    <w:tmpl w:val="AD787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433BA4"/>
    <w:multiLevelType w:val="multilevel"/>
    <w:tmpl w:val="939A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F33AE2"/>
    <w:multiLevelType w:val="multilevel"/>
    <w:tmpl w:val="522E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F00513"/>
    <w:multiLevelType w:val="multilevel"/>
    <w:tmpl w:val="A3BA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1462B7"/>
    <w:multiLevelType w:val="multilevel"/>
    <w:tmpl w:val="862C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1B3E4F"/>
    <w:multiLevelType w:val="multilevel"/>
    <w:tmpl w:val="16D0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1"/>
  </w:num>
  <w:num w:numId="4">
    <w:abstractNumId w:val="5"/>
  </w:num>
  <w:num w:numId="5">
    <w:abstractNumId w:val="4"/>
  </w:num>
  <w:num w:numId="6">
    <w:abstractNumId w:val="8"/>
  </w:num>
  <w:num w:numId="7">
    <w:abstractNumId w:val="3"/>
  </w:num>
  <w:num w:numId="8">
    <w:abstractNumId w:val="9"/>
  </w:num>
  <w:num w:numId="9">
    <w:abstractNumId w:val="2"/>
  </w:num>
  <w:num w:numId="10">
    <w:abstractNumId w:val="1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A3E"/>
    <w:rsid w:val="002E2491"/>
    <w:rsid w:val="003E2E62"/>
    <w:rsid w:val="00514D78"/>
    <w:rsid w:val="00A15F58"/>
    <w:rsid w:val="00B37D30"/>
    <w:rsid w:val="00C34FAE"/>
    <w:rsid w:val="00C46B40"/>
    <w:rsid w:val="00C541EB"/>
    <w:rsid w:val="00CB427F"/>
    <w:rsid w:val="00DB5EE7"/>
    <w:rsid w:val="00E25B55"/>
    <w:rsid w:val="00E445C9"/>
    <w:rsid w:val="00E551E9"/>
    <w:rsid w:val="00EC0E08"/>
    <w:rsid w:val="00F14D6F"/>
    <w:rsid w:val="00F23E74"/>
    <w:rsid w:val="00FE4A3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7539F"/>
  <w15:chartTrackingRefBased/>
  <w15:docId w15:val="{0DF71517-2662-4656-9989-D1DEDFCD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E4A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E4A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E4A3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E4A3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E4A3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E4A3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E4A3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E4A3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E4A3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E4A3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E4A3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E4A3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E4A3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E4A3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E4A3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E4A3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E4A3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E4A3E"/>
    <w:rPr>
      <w:rFonts w:eastAsiaTheme="majorEastAsia" w:cstheme="majorBidi"/>
      <w:color w:val="272727" w:themeColor="text1" w:themeTint="D8"/>
    </w:rPr>
  </w:style>
  <w:style w:type="paragraph" w:styleId="Puesto">
    <w:name w:val="Title"/>
    <w:basedOn w:val="Normal"/>
    <w:next w:val="Normal"/>
    <w:link w:val="PuestoCar"/>
    <w:uiPriority w:val="10"/>
    <w:qFormat/>
    <w:rsid w:val="00FE4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FE4A3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E4A3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E4A3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E4A3E"/>
    <w:pPr>
      <w:spacing w:before="160"/>
      <w:jc w:val="center"/>
    </w:pPr>
    <w:rPr>
      <w:i/>
      <w:iCs/>
      <w:color w:val="404040" w:themeColor="text1" w:themeTint="BF"/>
    </w:rPr>
  </w:style>
  <w:style w:type="character" w:customStyle="1" w:styleId="CitaCar">
    <w:name w:val="Cita Car"/>
    <w:basedOn w:val="Fuentedeprrafopredeter"/>
    <w:link w:val="Cita"/>
    <w:uiPriority w:val="29"/>
    <w:rsid w:val="00FE4A3E"/>
    <w:rPr>
      <w:i/>
      <w:iCs/>
      <w:color w:val="404040" w:themeColor="text1" w:themeTint="BF"/>
    </w:rPr>
  </w:style>
  <w:style w:type="paragraph" w:styleId="Prrafodelista">
    <w:name w:val="List Paragraph"/>
    <w:basedOn w:val="Normal"/>
    <w:uiPriority w:val="34"/>
    <w:qFormat/>
    <w:rsid w:val="00FE4A3E"/>
    <w:pPr>
      <w:ind w:left="720"/>
      <w:contextualSpacing/>
    </w:pPr>
  </w:style>
  <w:style w:type="character" w:styleId="nfasisintenso">
    <w:name w:val="Intense Emphasis"/>
    <w:basedOn w:val="Fuentedeprrafopredeter"/>
    <w:uiPriority w:val="21"/>
    <w:qFormat/>
    <w:rsid w:val="00FE4A3E"/>
    <w:rPr>
      <w:i/>
      <w:iCs/>
      <w:color w:val="0F4761" w:themeColor="accent1" w:themeShade="BF"/>
    </w:rPr>
  </w:style>
  <w:style w:type="paragraph" w:styleId="Citadestacada">
    <w:name w:val="Intense Quote"/>
    <w:basedOn w:val="Normal"/>
    <w:next w:val="Normal"/>
    <w:link w:val="CitadestacadaCar"/>
    <w:uiPriority w:val="30"/>
    <w:qFormat/>
    <w:rsid w:val="00FE4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E4A3E"/>
    <w:rPr>
      <w:i/>
      <w:iCs/>
      <w:color w:val="0F4761" w:themeColor="accent1" w:themeShade="BF"/>
    </w:rPr>
  </w:style>
  <w:style w:type="character" w:styleId="Referenciaintensa">
    <w:name w:val="Intense Reference"/>
    <w:basedOn w:val="Fuentedeprrafopredeter"/>
    <w:uiPriority w:val="32"/>
    <w:qFormat/>
    <w:rsid w:val="00FE4A3E"/>
    <w:rPr>
      <w:b/>
      <w:bCs/>
      <w:smallCaps/>
      <w:color w:val="0F4761" w:themeColor="accent1" w:themeShade="BF"/>
      <w:spacing w:val="5"/>
    </w:rPr>
  </w:style>
  <w:style w:type="paragraph" w:styleId="Encabezado">
    <w:name w:val="header"/>
    <w:basedOn w:val="Normal"/>
    <w:link w:val="EncabezadoCar"/>
    <w:uiPriority w:val="99"/>
    <w:unhideWhenUsed/>
    <w:rsid w:val="00C541EB"/>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C541EB"/>
  </w:style>
  <w:style w:type="paragraph" w:styleId="Piedepgina">
    <w:name w:val="footer"/>
    <w:basedOn w:val="Normal"/>
    <w:link w:val="PiedepginaCar"/>
    <w:uiPriority w:val="99"/>
    <w:unhideWhenUsed/>
    <w:rsid w:val="00C541EB"/>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C541EB"/>
  </w:style>
  <w:style w:type="paragraph" w:styleId="Textodeglobo">
    <w:name w:val="Balloon Text"/>
    <w:basedOn w:val="Normal"/>
    <w:link w:val="TextodegloboCar"/>
    <w:uiPriority w:val="99"/>
    <w:semiHidden/>
    <w:unhideWhenUsed/>
    <w:rsid w:val="00F14D6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4D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1599</Words>
  <Characters>8799</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GONZALEZ</dc:creator>
  <cp:keywords/>
  <dc:description/>
  <cp:lastModifiedBy>FranC</cp:lastModifiedBy>
  <cp:revision>7</cp:revision>
  <cp:lastPrinted>2026-08-10T15:13:00Z</cp:lastPrinted>
  <dcterms:created xsi:type="dcterms:W3CDTF">2026-08-03T15:13:00Z</dcterms:created>
  <dcterms:modified xsi:type="dcterms:W3CDTF">2026-08-10T16:45:00Z</dcterms:modified>
</cp:coreProperties>
</file>